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b/>
          <w:bCs/>
          <w:color w:val="000000" w:themeColor="text1"/>
          <w:sz w:val="36"/>
          <w:szCs w:val="36"/>
        </w:rPr>
      </w:pPr>
    </w:p>
    <w:p>
      <w:pPr>
        <w:adjustRightInd w:val="0"/>
        <w:snapToGrid w:val="0"/>
        <w:spacing w:line="360" w:lineRule="auto"/>
        <w:jc w:val="center"/>
        <w:outlineLvl w:val="0"/>
        <w:rPr>
          <w:rFonts w:ascii="黑体" w:hAnsi="黑体" w:eastAsia="黑体"/>
          <w:b/>
          <w:bCs/>
          <w:color w:val="000000" w:themeColor="text1"/>
          <w:sz w:val="36"/>
          <w:szCs w:val="36"/>
        </w:rPr>
      </w:pP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20</w:t>
      </w:r>
      <w:r>
        <w:rPr>
          <w:rFonts w:hint="eastAsia" w:ascii="黑体" w:hAnsi="黑体" w:eastAsia="黑体" w:cs="黑体"/>
          <w:b/>
          <w:bCs w:val="0"/>
          <w:sz w:val="48"/>
          <w:szCs w:val="48"/>
          <w:lang w:val="en-US" w:eastAsia="zh-CN"/>
        </w:rPr>
        <w:t>21</w:t>
      </w:r>
      <w:r>
        <w:rPr>
          <w:rFonts w:hint="eastAsia" w:ascii="黑体" w:hAnsi="黑体" w:eastAsia="黑体" w:cs="黑体"/>
          <w:b/>
          <w:bCs w:val="0"/>
          <w:sz w:val="48"/>
          <w:szCs w:val="48"/>
        </w:rPr>
        <w:t>年</w:t>
      </w:r>
      <w:r>
        <w:rPr>
          <w:rFonts w:hint="eastAsia" w:ascii="黑体" w:hAnsi="黑体" w:eastAsia="黑体" w:cs="黑体"/>
          <w:b/>
          <w:bCs w:val="0"/>
          <w:sz w:val="48"/>
          <w:szCs w:val="48"/>
          <w:lang w:val="en-US" w:eastAsia="zh-CN"/>
        </w:rPr>
        <w:t>甘肃</w:t>
      </w:r>
      <w:r>
        <w:rPr>
          <w:rFonts w:hint="eastAsia" w:ascii="黑体" w:hAnsi="黑体" w:eastAsia="黑体" w:cs="黑体"/>
          <w:b/>
          <w:bCs w:val="0"/>
          <w:sz w:val="48"/>
          <w:szCs w:val="48"/>
        </w:rPr>
        <w:t>省职业院校技能大赛高职组</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信息安全管理与评估</w:t>
      </w: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赛</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项</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规</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程</w:t>
      </w:r>
    </w:p>
    <w:p>
      <w:pPr>
        <w:pStyle w:val="6"/>
        <w:spacing w:line="360" w:lineRule="auto"/>
        <w:ind w:firstLine="0"/>
        <w:jc w:val="both"/>
        <w:rPr>
          <w:rFonts w:hint="eastAsia" w:ascii="黑体" w:hAnsi="黑体" w:eastAsia="黑体" w:cs="黑体"/>
          <w:sz w:val="36"/>
          <w:szCs w:val="36"/>
        </w:rPr>
      </w:pPr>
    </w:p>
    <w:p>
      <w:pPr>
        <w:pStyle w:val="6"/>
        <w:spacing w:line="360" w:lineRule="auto"/>
        <w:ind w:firstLine="0"/>
        <w:jc w:val="both"/>
        <w:rPr>
          <w:rFonts w:hint="eastAsia" w:ascii="黑体" w:hAnsi="黑体" w:eastAsia="黑体" w:cs="黑体"/>
          <w:sz w:val="36"/>
          <w:szCs w:val="36"/>
        </w:rPr>
      </w:pPr>
    </w:p>
    <w:p>
      <w:pPr>
        <w:pStyle w:val="6"/>
        <w:spacing w:line="360" w:lineRule="auto"/>
        <w:ind w:firstLine="2880" w:firstLineChars="800"/>
        <w:jc w:val="both"/>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rPr>
          <w:rFonts w:ascii="黑体" w:hAnsi="黑体" w:eastAsia="黑体"/>
          <w:color w:val="000000" w:themeColor="text1"/>
          <w:sz w:val="36"/>
          <w:szCs w:val="36"/>
        </w:rPr>
      </w:pPr>
    </w:p>
    <w:p>
      <w:pPr>
        <w:pStyle w:val="2"/>
        <w:adjustRightInd w:val="0"/>
        <w:snapToGrid w:val="0"/>
        <w:spacing w:before="0" w:after="0" w:line="560" w:lineRule="exact"/>
        <w:rPr>
          <w:rFonts w:hint="eastAsia" w:ascii="黑体" w:hAnsi="黑体" w:eastAsia="黑体" w:cs="宋体"/>
          <w:b/>
          <w:bCs/>
          <w:color w:val="000000"/>
          <w:kern w:val="0"/>
          <w:sz w:val="32"/>
          <w:szCs w:val="32"/>
          <w:lang w:val="en-US" w:eastAsia="zh-CN" w:bidi="ar-SA"/>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一、赛项名称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赛项编号：G-14</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赛项名称：信息安全管理与评估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英语翻译：Information Security Management and Evaluation</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赛项组别：高职组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竞赛形式：团体赛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赛项专业大类：电子信息大类</w:t>
      </w:r>
    </w:p>
    <w:p>
      <w:pPr>
        <w:pStyle w:val="2"/>
        <w:adjustRightInd w:val="0"/>
        <w:snapToGrid w:val="0"/>
        <w:spacing w:before="0" w:after="0" w:line="560" w:lineRule="exact"/>
        <w:rPr>
          <w:rFonts w:hint="eastAsia" w:ascii="黑体" w:hAnsi="黑体" w:eastAsia="黑体" w:cs="宋体"/>
          <w:b/>
          <w:bCs/>
          <w:color w:val="000000"/>
          <w:kern w:val="0"/>
          <w:sz w:val="32"/>
          <w:szCs w:val="32"/>
          <w:lang w:val="en-US" w:eastAsia="zh-CN" w:bidi="ar-SA"/>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二、竞赛目的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赛项检验参赛选手网络组建、安全架构和网络安全运维管控等方面的技术技能，检验参赛队组织和团队协作等综合职业素养，培养学生创新能力和实践动手能力，提升学生职业能力和就业竞争力。通过大赛引领专业教学改革，丰富完善学习领域课程建设，使人才培养更贴近岗位实际，实现以赛促教、以赛促学、以赛促改的产教结合格局，提升专业培养服务社会和行业发展的能力，为国家信息安全行业培养选拔技术技能型人才。</w:t>
      </w:r>
    </w:p>
    <w:p>
      <w:pPr>
        <w:pStyle w:val="2"/>
        <w:adjustRightInd w:val="0"/>
        <w:snapToGrid w:val="0"/>
        <w:spacing w:before="0" w:after="0" w:line="560" w:lineRule="exact"/>
        <w:rPr>
          <w:rFonts w:ascii="仿宋" w:hAnsi="仿宋" w:eastAsia="仿宋"/>
          <w:b w:val="0"/>
          <w:color w:val="000000" w:themeColor="text1"/>
          <w:sz w:val="28"/>
          <w:szCs w:val="28"/>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三、竞赛内容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重点考核参赛选手安全网络组建、网络系统安全策略部署、信息保护、网络安全运维管理的综合实践能力，具体包括：</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参赛选手能够根据大赛提供的赛项要求，设计信息安全防护方案，并且能够提供详细的信息安全防护设备拓扑图。</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参赛选手能够根据业务需求和实际的工程应用环境，实现网络设备、安全设备、服务器的连接，通过调试，实现设备互联互通。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参赛选手能够在赛项提供的网络设备及服务器上配置各种协议和服务，实现网络系统的运行，并根据网络业务需求配置各种安全策略，以满足应用需求。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参赛选手能够根据网络实际运行中面临的安全威胁，指定安全策略并部署实施，防范并解决网络恶意入侵和攻击行为。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参赛选手能够按照要求准确撰写工作总结。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以参赛队为单位进行分组对抗，在防护本参赛队服务器的同时，渗透其他参赛队的服务器，服务器被渗透的参赛队立即下线，该参赛队比赛结束，选手出场。比赛结果通过大屏幕等形式在休息区实时展示。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各竞赛阶段重点内容如下：</w:t>
      </w:r>
    </w:p>
    <w:tbl>
      <w:tblPr>
        <w:tblStyle w:val="21"/>
        <w:tblW w:w="8296" w:type="dxa"/>
        <w:tblInd w:w="0" w:type="dxa"/>
        <w:tblLayout w:type="fixed"/>
        <w:tblCellMar>
          <w:top w:w="0" w:type="dxa"/>
          <w:left w:w="108" w:type="dxa"/>
          <w:bottom w:w="0" w:type="dxa"/>
          <w:right w:w="108" w:type="dxa"/>
        </w:tblCellMar>
      </w:tblPr>
      <w:tblGrid>
        <w:gridCol w:w="1159"/>
        <w:gridCol w:w="1389"/>
        <w:gridCol w:w="1701"/>
        <w:gridCol w:w="4047"/>
      </w:tblGrid>
      <w:tr>
        <w:tblPrEx>
          <w:tblCellMar>
            <w:top w:w="0" w:type="dxa"/>
            <w:left w:w="108" w:type="dxa"/>
            <w:bottom w:w="0" w:type="dxa"/>
            <w:right w:w="108" w:type="dxa"/>
          </w:tblCellMar>
        </w:tblPrEx>
        <w:trPr>
          <w:trHeight w:val="270" w:hRule="atLeast"/>
        </w:trPr>
        <w:tc>
          <w:tcPr>
            <w:tcW w:w="1159"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1389"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内容模块</w:t>
            </w:r>
          </w:p>
        </w:tc>
        <w:tc>
          <w:tcPr>
            <w:tcW w:w="1701"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具体内容</w:t>
            </w:r>
          </w:p>
        </w:tc>
        <w:tc>
          <w:tcPr>
            <w:tcW w:w="4047"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说明</w:t>
            </w:r>
          </w:p>
        </w:tc>
      </w:tr>
      <w:tr>
        <w:tblPrEx>
          <w:tblCellMar>
            <w:top w:w="0" w:type="dxa"/>
            <w:left w:w="108" w:type="dxa"/>
            <w:bottom w:w="0"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r>
              <w:rPr>
                <w:rFonts w:hint="eastAsia" w:ascii="仿宋_GB2312" w:hAnsi="仿宋" w:eastAsia="仿宋_GB2312"/>
                <w:kern w:val="0"/>
                <w:sz w:val="24"/>
                <w:szCs w:val="24"/>
              </w:rPr>
              <w:t>第一阶段</w:t>
            </w:r>
          </w:p>
        </w:tc>
        <w:tc>
          <w:tcPr>
            <w:tcW w:w="1389" w:type="dxa"/>
            <w:vMerge w:val="restart"/>
            <w:tcBorders>
              <w:top w:val="nil"/>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网络平台搭建</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网络规划</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VLSM、CIDR等；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基础网络</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VLAN、WLAN、STP、SVI、RIPV2、OSPF等；</w:t>
            </w:r>
          </w:p>
        </w:tc>
      </w:tr>
      <w:tr>
        <w:tblPrEx>
          <w:tblCellMar>
            <w:top w:w="0" w:type="dxa"/>
            <w:left w:w="108" w:type="dxa"/>
            <w:bottom w:w="0"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网络安全设备配置与防护</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访问控制</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保护网络应用安全，实现防DOS、</w:t>
            </w:r>
            <w:r>
              <w:rPr>
                <w:rFonts w:hint="eastAsia" w:ascii="仿宋_GB2312" w:hAnsi="仿宋" w:eastAsia="仿宋_GB2312"/>
                <w:kern w:val="0"/>
                <w:sz w:val="24"/>
                <w:szCs w:val="24"/>
              </w:rPr>
              <w:t>DDOS</w:t>
            </w:r>
            <w:r>
              <w:rPr>
                <w:rFonts w:hint="eastAsia" w:ascii="仿宋_GB2312" w:hAnsi="仿宋" w:eastAsia="仿宋_GB2312" w:cs="宋体"/>
                <w:kern w:val="0"/>
                <w:sz w:val="24"/>
                <w:szCs w:val="24"/>
              </w:rPr>
              <w:t>攻击、实现包过滤、应用层代理、状态化包过滤、</w:t>
            </w:r>
            <w:r>
              <w:rPr>
                <w:rFonts w:hint="eastAsia" w:ascii="仿宋_GB2312" w:hAnsi="仿宋" w:eastAsia="仿宋_GB2312"/>
                <w:kern w:val="0"/>
                <w:sz w:val="24"/>
                <w:szCs w:val="24"/>
              </w:rPr>
              <w:t>URL</w:t>
            </w:r>
            <w:r>
              <w:rPr>
                <w:rFonts w:hint="eastAsia" w:ascii="仿宋_GB2312" w:hAnsi="仿宋" w:eastAsia="仿宋_GB2312" w:cs="宋体"/>
                <w:kern w:val="0"/>
                <w:sz w:val="24"/>
                <w:szCs w:val="24"/>
              </w:rPr>
              <w:t>过滤、</w:t>
            </w:r>
            <w:r>
              <w:rPr>
                <w:rFonts w:hint="eastAsia" w:ascii="仿宋_GB2312" w:hAnsi="仿宋" w:eastAsia="仿宋_GB2312"/>
                <w:kern w:val="0"/>
                <w:sz w:val="24"/>
                <w:szCs w:val="24"/>
              </w:rPr>
              <w:t>基于IP、协议、应用、用户角色、自定义数据流和时间等方式的带宽控制，QOS策略等；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密码学和VPN</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密码学基本理论</w:t>
            </w:r>
          </w:p>
          <w:p>
            <w:pPr>
              <w:adjustRightInd w:val="0"/>
              <w:snapToGrid w:val="0"/>
              <w:jc w:val="left"/>
              <w:rPr>
                <w:rFonts w:ascii="仿宋_GB2312" w:hAnsi="仿宋" w:eastAsia="仿宋_GB2312"/>
                <w:kern w:val="0"/>
                <w:sz w:val="24"/>
                <w:szCs w:val="24"/>
              </w:rPr>
            </w:pPr>
            <w:r>
              <w:rPr>
                <w:rFonts w:ascii="仿宋_GB2312" w:hAnsi="仿宋" w:eastAsia="仿宋_GB2312"/>
                <w:kern w:val="0"/>
                <w:sz w:val="24"/>
                <w:szCs w:val="24"/>
              </w:rPr>
              <w:t>L2L IPSec VPN</w:t>
            </w:r>
          </w:p>
          <w:p>
            <w:pPr>
              <w:adjustRightInd w:val="0"/>
              <w:snapToGrid w:val="0"/>
              <w:jc w:val="left"/>
              <w:rPr>
                <w:rFonts w:ascii="仿宋_GB2312" w:hAnsi="仿宋" w:eastAsia="仿宋_GB2312"/>
                <w:kern w:val="0"/>
                <w:sz w:val="24"/>
                <w:szCs w:val="24"/>
              </w:rPr>
            </w:pPr>
            <w:r>
              <w:rPr>
                <w:rFonts w:ascii="仿宋_GB2312" w:hAnsi="仿宋" w:eastAsia="仿宋_GB2312"/>
                <w:kern w:val="0"/>
                <w:sz w:val="24"/>
                <w:szCs w:val="24"/>
              </w:rPr>
              <w:t>GRE Over IPSec</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L2TP Over IPSec</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IKE：PSK</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IKE：PKI</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SSL VPN等；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数据分析</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能够利用日志系统对网络内的数据进行日志分析，把控网络安全等；</w:t>
            </w:r>
          </w:p>
        </w:tc>
      </w:tr>
      <w:tr>
        <w:tblPrEx>
          <w:tblCellMar>
            <w:top w:w="0" w:type="dxa"/>
            <w:left w:w="108" w:type="dxa"/>
            <w:bottom w:w="0"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r>
              <w:rPr>
                <w:rFonts w:hint="eastAsia" w:ascii="仿宋_GB2312" w:hAnsi="仿宋" w:eastAsia="仿宋_GB2312"/>
                <w:kern w:val="0"/>
                <w:sz w:val="24"/>
                <w:szCs w:val="24"/>
              </w:rPr>
              <w:t>第二阶段</w:t>
            </w: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系统安全攻防及运维安全管控</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网络渗透测试及其加固技术</w:t>
            </w:r>
          </w:p>
        </w:tc>
        <w:tc>
          <w:tcPr>
            <w:tcW w:w="4047"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MAC渗透测试及其加固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DHCP渗透测试及其加固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ARP渗透测试及其加固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STP渗透测试及其加固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VLAN渗透测试及其加固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路由协议(RIPV2、OSPF)渗透测试及其加固</w:t>
            </w:r>
          </w:p>
        </w:tc>
      </w:tr>
      <w:tr>
        <w:tblPrEx>
          <w:tblCellMar>
            <w:top w:w="0" w:type="dxa"/>
            <w:left w:w="108" w:type="dxa"/>
            <w:bottom w:w="0"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kern w:val="0"/>
                <w:sz w:val="24"/>
                <w:szCs w:val="24"/>
              </w:rPr>
              <w:t>操作系统渗透测试及其加固</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Windows、Linux操作系统缓冲区溢出渗透测试及其加固；</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操作系统及服务相关安全攻防等；</w:t>
            </w:r>
          </w:p>
        </w:tc>
      </w:tr>
      <w:tr>
        <w:tblPrEx>
          <w:tblCellMar>
            <w:top w:w="0" w:type="dxa"/>
            <w:left w:w="108" w:type="dxa"/>
            <w:bottom w:w="0"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kern w:val="0"/>
                <w:sz w:val="24"/>
                <w:szCs w:val="24"/>
              </w:rPr>
              <w:t>Web应用和数据库渗透测试及其加固技术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SQL Injection（SQL注入）漏洞渗透测试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Command Injection（命令注入）漏洞渗透测试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File Upload（文件上传）漏洞渗透测试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Directory Traversing（目录穿越）漏洞渗透测试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XSS（Cross Site Script）漏洞渗透测试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CSRF（Cross Site Request Forgeries）漏洞渗透测试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Cookie Stole（Cookie盗用）漏洞渗透测试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Session Hijacking（会话劫持）漏洞渗透测试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配置WAF（Web应用防火墙）加固Web应用;</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WEB相关安全攻防等；</w:t>
            </w:r>
          </w:p>
          <w:p>
            <w:pPr>
              <w:adjustRightInd w:val="0"/>
              <w:snapToGrid w:val="0"/>
              <w:jc w:val="left"/>
              <w:rPr>
                <w:rFonts w:hint="eastAsia"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数据库相关安全攻防等；</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PHP与Python代码审计及编程；</w:t>
            </w:r>
          </w:p>
        </w:tc>
      </w:tr>
      <w:tr>
        <w:tblPrEx>
          <w:tblCellMar>
            <w:top w:w="0" w:type="dxa"/>
            <w:left w:w="108" w:type="dxa"/>
            <w:bottom w:w="0"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r>
              <w:rPr>
                <w:rFonts w:hint="eastAsia" w:ascii="仿宋_GB2312" w:hAnsi="仿宋" w:eastAsia="仿宋_GB2312"/>
                <w:kern w:val="0"/>
                <w:sz w:val="24"/>
                <w:szCs w:val="24"/>
              </w:rPr>
              <w:t>第三阶段</w:t>
            </w:r>
          </w:p>
        </w:tc>
        <w:tc>
          <w:tcPr>
            <w:tcW w:w="138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分组对抗</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sz w:val="24"/>
                <w:szCs w:val="24"/>
              </w:rPr>
            </w:pPr>
            <w:r>
              <w:rPr>
                <w:rFonts w:hint="eastAsia" w:ascii="仿宋_GB2312" w:hAnsi="仿宋" w:eastAsia="仿宋_GB2312"/>
                <w:sz w:val="24"/>
                <w:szCs w:val="24"/>
              </w:rPr>
              <w:t>参赛队之间进行对抗演练</w:t>
            </w:r>
          </w:p>
        </w:tc>
        <w:tc>
          <w:tcPr>
            <w:tcW w:w="4047"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网络协议安全攻防</w:t>
            </w:r>
          </w:p>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Windows/Linux操作系统安全攻防</w:t>
            </w:r>
          </w:p>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Web应用/数据库安全攻防等；</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竞赛分值权重和时间分布</w:t>
      </w:r>
    </w:p>
    <w:tbl>
      <w:tblPr>
        <w:tblStyle w:val="21"/>
        <w:tblW w:w="8296" w:type="dxa"/>
        <w:tblInd w:w="0" w:type="dxa"/>
        <w:tblLayout w:type="fixed"/>
        <w:tblCellMar>
          <w:top w:w="0" w:type="dxa"/>
          <w:left w:w="108" w:type="dxa"/>
          <w:bottom w:w="0" w:type="dxa"/>
          <w:right w:w="108" w:type="dxa"/>
        </w:tblCellMar>
      </w:tblPr>
      <w:tblGrid>
        <w:gridCol w:w="1980"/>
        <w:gridCol w:w="4252"/>
        <w:gridCol w:w="2064"/>
      </w:tblGrid>
      <w:tr>
        <w:tblPrEx>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内容模块</w:t>
            </w:r>
          </w:p>
        </w:tc>
        <w:tc>
          <w:tcPr>
            <w:tcW w:w="20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竞赛时间</w:t>
            </w:r>
          </w:p>
        </w:tc>
      </w:tr>
      <w:tr>
        <w:tblPrEx>
          <w:tblCellMar>
            <w:top w:w="0" w:type="dxa"/>
            <w:left w:w="108" w:type="dxa"/>
            <w:bottom w:w="0" w:type="dxa"/>
            <w:right w:w="108" w:type="dxa"/>
          </w:tblCellMar>
        </w:tblPrEx>
        <w:trPr>
          <w:trHeight w:val="285" w:hRule="atLeast"/>
        </w:trPr>
        <w:tc>
          <w:tcPr>
            <w:tcW w:w="198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第一阶段</w:t>
            </w:r>
          </w:p>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权重30%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网络平台搭建</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权重9%</w:t>
            </w:r>
          </w:p>
        </w:tc>
        <w:tc>
          <w:tcPr>
            <w:tcW w:w="2064" w:type="dxa"/>
            <w:vMerge w:val="restart"/>
            <w:tcBorders>
              <w:top w:val="nil"/>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r>
              <w:rPr>
                <w:rFonts w:hint="eastAsia" w:ascii="仿宋" w:hAnsi="仿宋" w:eastAsia="仿宋" w:cs="Calibri"/>
                <w:color w:val="000000" w:themeColor="text1"/>
                <w:kern w:val="0"/>
                <w:sz w:val="24"/>
                <w:szCs w:val="24"/>
              </w:rPr>
              <w:t>180分钟</w:t>
            </w:r>
          </w:p>
        </w:tc>
      </w:tr>
      <w:tr>
        <w:tblPrEx>
          <w:tblCellMar>
            <w:top w:w="0" w:type="dxa"/>
            <w:left w:w="108" w:type="dxa"/>
            <w:bottom w:w="0" w:type="dxa"/>
            <w:right w:w="108" w:type="dxa"/>
          </w:tblCellMar>
        </w:tblPrEx>
        <w:trPr>
          <w:trHeight w:val="285"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网络安全设备配置与防护</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权重21%</w:t>
            </w:r>
          </w:p>
        </w:tc>
        <w:tc>
          <w:tcPr>
            <w:tcW w:w="2064" w:type="dxa"/>
            <w:vMerge w:val="continue"/>
            <w:tcBorders>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第二阶段</w:t>
            </w:r>
          </w:p>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权重40%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系统安全攻防及运维安全管控</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权重40%</w:t>
            </w:r>
          </w:p>
        </w:tc>
        <w:tc>
          <w:tcPr>
            <w:tcW w:w="2064"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p>
        </w:tc>
      </w:tr>
      <w:tr>
        <w:tblPrEx>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第三阶段</w:t>
            </w:r>
          </w:p>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权重30%</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分组对抗</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权重30%</w:t>
            </w:r>
          </w:p>
        </w:tc>
        <w:tc>
          <w:tcPr>
            <w:tcW w:w="20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r>
              <w:rPr>
                <w:rFonts w:hint="eastAsia" w:ascii="仿宋" w:hAnsi="仿宋" w:eastAsia="仿宋" w:cs="Calibri"/>
                <w:color w:val="000000" w:themeColor="text1"/>
                <w:kern w:val="0"/>
                <w:sz w:val="24"/>
                <w:szCs w:val="24"/>
              </w:rPr>
              <w:t>60分钟</w:t>
            </w:r>
          </w:p>
        </w:tc>
      </w:tr>
    </w:tbl>
    <w:p>
      <w:pPr>
        <w:pStyle w:val="54"/>
        <w:numPr>
          <w:numId w:val="0"/>
        </w:numPr>
        <w:adjustRightInd w:val="0"/>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2.竞赛时间表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比赛限定在1天内进行，比赛场次为1场，赛项竞赛时间为4小时(不含一、二阶段与第三阶段切换30分钟)，时间为9:00-13:30，具体安排如下：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58"/>
        <w:gridCol w:w="2729"/>
        <w:gridCol w:w="166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8"/>
              <w:jc w:val="center"/>
              <w:rPr>
                <w:rFonts w:ascii="仿宋" w:hAnsi="仿宋" w:eastAsia="仿宋"/>
                <w:b/>
                <w:sz w:val="24"/>
              </w:rPr>
            </w:pPr>
            <w:r>
              <w:rPr>
                <w:rFonts w:hint="eastAsia" w:ascii="仿宋" w:hAnsi="仿宋" w:eastAsia="仿宋"/>
                <w:b/>
                <w:sz w:val="24"/>
              </w:rPr>
              <w:t>日期</w:t>
            </w:r>
          </w:p>
        </w:tc>
        <w:tc>
          <w:tcPr>
            <w:tcW w:w="1858" w:type="dxa"/>
            <w:vAlign w:val="center"/>
          </w:tcPr>
          <w:p>
            <w:pPr>
              <w:pStyle w:val="8"/>
              <w:jc w:val="center"/>
              <w:rPr>
                <w:rFonts w:ascii="仿宋" w:hAnsi="仿宋" w:eastAsia="仿宋"/>
                <w:b/>
                <w:sz w:val="24"/>
              </w:rPr>
            </w:pPr>
            <w:r>
              <w:rPr>
                <w:rFonts w:hint="eastAsia" w:ascii="仿宋" w:hAnsi="仿宋" w:eastAsia="仿宋"/>
                <w:b/>
                <w:sz w:val="24"/>
              </w:rPr>
              <w:t>时间</w:t>
            </w:r>
          </w:p>
        </w:tc>
        <w:tc>
          <w:tcPr>
            <w:tcW w:w="2729" w:type="dxa"/>
            <w:vAlign w:val="center"/>
          </w:tcPr>
          <w:p>
            <w:pPr>
              <w:pStyle w:val="8"/>
              <w:jc w:val="center"/>
              <w:rPr>
                <w:rFonts w:ascii="仿宋" w:hAnsi="仿宋" w:eastAsia="仿宋"/>
                <w:b/>
                <w:sz w:val="24"/>
              </w:rPr>
            </w:pPr>
            <w:r>
              <w:rPr>
                <w:rFonts w:hint="eastAsia" w:ascii="仿宋" w:hAnsi="仿宋" w:eastAsia="仿宋"/>
                <w:b/>
                <w:sz w:val="24"/>
              </w:rPr>
              <w:t>事项</w:t>
            </w:r>
          </w:p>
        </w:tc>
        <w:tc>
          <w:tcPr>
            <w:tcW w:w="1669" w:type="dxa"/>
            <w:vAlign w:val="center"/>
          </w:tcPr>
          <w:p>
            <w:pPr>
              <w:pStyle w:val="8"/>
              <w:jc w:val="center"/>
              <w:rPr>
                <w:rFonts w:ascii="仿宋" w:hAnsi="仿宋" w:eastAsia="仿宋"/>
                <w:b/>
                <w:sz w:val="24"/>
              </w:rPr>
            </w:pPr>
            <w:r>
              <w:rPr>
                <w:rFonts w:hint="eastAsia" w:ascii="仿宋" w:hAnsi="仿宋" w:eastAsia="仿宋"/>
                <w:b/>
                <w:sz w:val="24"/>
              </w:rPr>
              <w:t>参加人员</w:t>
            </w:r>
          </w:p>
        </w:tc>
        <w:tc>
          <w:tcPr>
            <w:tcW w:w="1358" w:type="dxa"/>
            <w:vAlign w:val="center"/>
          </w:tcPr>
          <w:p>
            <w:pPr>
              <w:pStyle w:val="8"/>
              <w:jc w:val="center"/>
              <w:rPr>
                <w:rFonts w:ascii="仿宋" w:hAnsi="仿宋" w:eastAsia="仿宋"/>
                <w:b/>
                <w:sz w:val="24"/>
              </w:rPr>
            </w:pPr>
            <w:r>
              <w:rPr>
                <w:rFonts w:hint="eastAsia" w:ascii="仿宋" w:hAnsi="仿宋" w:eastAsia="仿宋"/>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8"/>
              <w:jc w:val="center"/>
              <w:rPr>
                <w:rFonts w:ascii="仿宋" w:hAnsi="仿宋" w:eastAsia="仿宋"/>
                <w:sz w:val="24"/>
                <w:shd w:val="clear" w:color="auto" w:fill="FFFFFF"/>
              </w:rPr>
            </w:pPr>
            <w:r>
              <w:rPr>
                <w:rFonts w:hint="eastAsia" w:ascii="仿宋" w:hAnsi="仿宋" w:eastAsia="仿宋"/>
                <w:sz w:val="24"/>
              </w:rPr>
              <w:t>竞赛前</w:t>
            </w:r>
            <w:r>
              <w:rPr>
                <w:rFonts w:ascii="仿宋" w:hAnsi="仿宋" w:eastAsia="仿宋"/>
                <w:sz w:val="24"/>
              </w:rPr>
              <w:t>1</w:t>
            </w:r>
            <w:r>
              <w:rPr>
                <w:rFonts w:hint="eastAsia" w:ascii="仿宋" w:hAnsi="仿宋" w:eastAsia="仿宋"/>
                <w:sz w:val="24"/>
              </w:rPr>
              <w:t>日</w:t>
            </w: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09:00-1</w:t>
            </w:r>
            <w:r>
              <w:rPr>
                <w:rFonts w:hint="eastAsia" w:ascii="仿宋" w:hAnsi="仿宋" w:eastAsia="仿宋"/>
                <w:sz w:val="24"/>
                <w:shd w:val="clear" w:color="auto" w:fill="FFFFFF"/>
              </w:rPr>
              <w:t>2</w:t>
            </w:r>
            <w:r>
              <w:rPr>
                <w:rFonts w:ascii="仿宋" w:hAnsi="仿宋" w:eastAsia="仿宋"/>
                <w:sz w:val="24"/>
                <w:shd w:val="clear" w:color="auto" w:fill="FFFFFF"/>
              </w:rPr>
              <w:t>:00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参赛队报到，安排住宿，领取资料</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工作人员、参赛队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09:00-12:00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裁判工作会议</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裁判长、裁判员、监督组</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13:00-14:30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领队会</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各参赛队领队、裁判长</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15:00-16:00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参观赛场</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各参赛队领队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16:00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检查封闭赛场</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裁判长、监督组</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w:t>
            </w:r>
            <w:r>
              <w:rPr>
                <w:rFonts w:hint="eastAsia" w:ascii="仿宋" w:hAnsi="仿宋" w:eastAsia="仿宋"/>
                <w:sz w:val="24"/>
                <w:shd w:val="clear" w:color="auto" w:fill="FFFFFF"/>
              </w:rPr>
              <w:t>6</w:t>
            </w:r>
            <w:r>
              <w:rPr>
                <w:rFonts w:ascii="仿宋" w:hAnsi="仿宋" w:eastAsia="仿宋"/>
                <w:sz w:val="24"/>
                <w:shd w:val="clear" w:color="auto" w:fill="FFFFFF"/>
              </w:rPr>
              <w:t>:00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返回酒店</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参赛领队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8"/>
              <w:jc w:val="center"/>
              <w:rPr>
                <w:rFonts w:ascii="仿宋" w:hAnsi="仿宋" w:eastAsia="仿宋"/>
                <w:sz w:val="24"/>
              </w:rPr>
            </w:pPr>
            <w:r>
              <w:rPr>
                <w:rFonts w:hint="eastAsia" w:ascii="仿宋" w:hAnsi="仿宋" w:eastAsia="仿宋"/>
                <w:sz w:val="24"/>
              </w:rPr>
              <w:t>竞赛</w:t>
            </w:r>
          </w:p>
          <w:p>
            <w:pPr>
              <w:pStyle w:val="8"/>
              <w:jc w:val="center"/>
              <w:rPr>
                <w:rFonts w:ascii="仿宋" w:hAnsi="仿宋" w:eastAsia="仿宋"/>
                <w:sz w:val="24"/>
              </w:rPr>
            </w:pPr>
            <w:r>
              <w:rPr>
                <w:rFonts w:hint="eastAsia" w:ascii="仿宋" w:hAnsi="仿宋" w:eastAsia="仿宋"/>
                <w:sz w:val="24"/>
              </w:rPr>
              <w:t>当天</w:t>
            </w: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08:30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裁判进入裁判室</w:t>
            </w:r>
          </w:p>
        </w:tc>
        <w:tc>
          <w:tcPr>
            <w:tcW w:w="1669" w:type="dxa"/>
            <w:vAlign w:val="bottom"/>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裁判长、现场裁判</w:t>
            </w:r>
          </w:p>
        </w:tc>
        <w:tc>
          <w:tcPr>
            <w:tcW w:w="1358" w:type="dxa"/>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08:50-09:00</w:t>
            </w:r>
          </w:p>
          <w:p>
            <w:pPr>
              <w:shd w:val="solid" w:color="FFFFFF" w:fill="auto"/>
              <w:autoSpaceDN w:val="0"/>
              <w:jc w:val="center"/>
              <w:rPr>
                <w:rFonts w:ascii="仿宋" w:hAnsi="仿宋" w:eastAsia="仿宋"/>
                <w:sz w:val="24"/>
                <w:shd w:val="clear" w:color="auto" w:fill="FFFFFF"/>
              </w:rPr>
            </w:pP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参赛代表队就位，宣读考场纪律,赛题发放时间</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09:00-12:00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第一阶段和第二阶段正式比赛时间</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12:00-12:30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第一阶段与第二阶段比赛结果提交时间</w:t>
            </w:r>
            <w:r>
              <w:rPr>
                <w:rFonts w:ascii="仿宋" w:hAnsi="仿宋" w:eastAsia="仿宋"/>
                <w:sz w:val="24"/>
                <w:shd w:val="clear" w:color="auto" w:fill="FFFFFF"/>
              </w:rPr>
              <w:t xml:space="preserve"> </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12:30-13:30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第三阶段正式比赛时间</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13:30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比赛正式结束</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vAlign w:val="bottom"/>
          </w:tcPr>
          <w:p>
            <w:pPr>
              <w:shd w:val="solid" w:color="FFFFFF" w:fill="auto"/>
              <w:autoSpaceDN w:val="0"/>
              <w:jc w:val="left"/>
              <w:rPr>
                <w:rFonts w:ascii="仿宋" w:hAnsi="仿宋" w:eastAsia="仿宋"/>
                <w:sz w:val="24"/>
                <w:shd w:val="clear" w:color="auto" w:fill="FFFFFF"/>
              </w:rPr>
            </w:pPr>
            <w:r>
              <w:rPr>
                <w:rFonts w:hint="eastAsia" w:ascii="仿宋" w:hAnsi="仿宋" w:eastAsia="仿宋"/>
                <w:sz w:val="24"/>
                <w:shd w:val="clear" w:color="auto" w:fill="FFFFFF"/>
              </w:rPr>
              <w:t>竞赛场地</w:t>
            </w:r>
          </w:p>
        </w:tc>
      </w:tr>
    </w:tbl>
    <w:p>
      <w:pPr>
        <w:adjustRightInd w:val="0"/>
        <w:snapToGrid w:val="0"/>
        <w:spacing w:line="560" w:lineRule="exact"/>
        <w:ind w:firstLine="627" w:firstLineChars="196"/>
        <w:rPr>
          <w:rFonts w:ascii="仿宋" w:hAnsi="仿宋" w:eastAsia="仿宋"/>
          <w:color w:val="000000" w:themeColor="text1"/>
          <w:sz w:val="28"/>
          <w:szCs w:val="28"/>
        </w:rPr>
      </w:pPr>
      <w:r>
        <w:rPr>
          <w:rFonts w:hint="eastAsia" w:ascii="仿宋_GB2312" w:hAnsi="仿宋_GB2312" w:eastAsia="仿宋_GB2312" w:cs="仿宋_GB2312"/>
          <w:kern w:val="2"/>
          <w:sz w:val="32"/>
          <w:szCs w:val="32"/>
          <w:lang w:val="en-US" w:eastAsia="zh-CN" w:bidi="ar-SA"/>
        </w:rPr>
        <w:t>备注：第一阶段和第二阶段赛题在开始比赛时同时发放，并于12：00统一提交答题成果。</w:t>
      </w:r>
    </w:p>
    <w:p>
      <w:pPr>
        <w:pStyle w:val="55"/>
        <w:keepNext/>
        <w:ind w:firstLine="643" w:firstLineChars="200"/>
        <w:jc w:val="both"/>
        <w:rPr>
          <w:rFonts w:hint="eastAsia"/>
          <w:b/>
          <w:bCs/>
          <w:sz w:val="32"/>
          <w:szCs w:val="32"/>
        </w:rPr>
      </w:pPr>
      <w:r>
        <w:rPr>
          <w:rFonts w:hint="eastAsia"/>
          <w:b/>
          <w:bCs/>
          <w:sz w:val="32"/>
          <w:szCs w:val="32"/>
        </w:rPr>
        <w:t>四、竞赛方式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1.竞赛以团体赛方式进行。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2.竞赛队伍组成：竞赛队伍由3名参赛选手组成（设队长1名），最多配2名指导教师。以院校为单位组队参赛，不得跨校组队。   </w:t>
      </w:r>
    </w:p>
    <w:p>
      <w:pPr>
        <w:pStyle w:val="55"/>
        <w:keepNext/>
        <w:ind w:firstLine="643" w:firstLineChars="200"/>
        <w:jc w:val="both"/>
        <w:rPr>
          <w:rFonts w:hint="eastAsia"/>
          <w:b/>
          <w:bCs/>
          <w:sz w:val="32"/>
          <w:szCs w:val="32"/>
        </w:rPr>
      </w:pPr>
      <w:r>
        <w:rPr>
          <w:rFonts w:hint="eastAsia"/>
          <w:b/>
          <w:bCs/>
          <w:sz w:val="32"/>
          <w:szCs w:val="32"/>
        </w:rPr>
        <w:t>五、竞赛试题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采用公开样题的方式。本赛项的命题工作由赛项执委会指定的命题专家组负责，按照竞赛规程的内容要求，在方向和难度上依据教育部颁发的职业院校相关专业人才培养标准和国家职业标准，结合高职信息安全与管理专业人才培养要求和信息安全企业岗位需要进行设计，命题专家在完成命题后，会交由赛项执委会指定的专家进行审核。</w:t>
      </w:r>
    </w:p>
    <w:p>
      <w:pPr>
        <w:pStyle w:val="55"/>
        <w:keepNext/>
        <w:ind w:firstLine="643" w:firstLineChars="200"/>
        <w:jc w:val="both"/>
        <w:rPr>
          <w:rFonts w:hint="eastAsia"/>
          <w:b/>
          <w:bCs/>
          <w:sz w:val="32"/>
          <w:szCs w:val="32"/>
        </w:rPr>
      </w:pPr>
      <w:r>
        <w:rPr>
          <w:rFonts w:hint="eastAsia"/>
          <w:b/>
          <w:bCs/>
          <w:sz w:val="32"/>
          <w:szCs w:val="32"/>
        </w:rPr>
        <w:t>六、竞赛规则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参赛选手须为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省高等职业学校全日制在籍学生。本科院校中高职类全日制在籍学生，五年制高职四、五年级学生可报名参加高职组比赛。高职组参赛选手年龄须不超过25周岁（当年）, 199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年5月1日之后出生，性别不限。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（二）竞赛工位通过抽签决定，竞赛期间参赛选手不得离开竞赛工位。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（三）竞赛所需的硬件设备、系统软件和辅助工具由赛项执委会统一安排，参赛选手不得自带硬件设备、软件、移动存储、辅助工具、移动通信等进入竞赛现场。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（四）参赛队自行决定选手分工、工作程序和时间安排。</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（五）参赛队在赛前10分钟进入竞赛工位并领取竞赛任务，竞赛正式开始后方可展开相关工作。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（七）竞赛结束（或提前完成）后，参赛队要确认已成功提交所有竞赛文档，裁判员与参赛队队长一起签字确认，参赛队在确认后不得再进行任何操作。</w:t>
      </w:r>
    </w:p>
    <w:p>
      <w:pPr>
        <w:pStyle w:val="55"/>
        <w:keepNext/>
        <w:ind w:firstLine="643" w:firstLineChars="200"/>
        <w:jc w:val="both"/>
        <w:rPr>
          <w:rFonts w:hint="eastAsia"/>
          <w:b/>
          <w:bCs/>
          <w:sz w:val="32"/>
          <w:szCs w:val="32"/>
        </w:rPr>
      </w:pPr>
      <w:r>
        <w:rPr>
          <w:rFonts w:hint="eastAsia"/>
          <w:b/>
          <w:bCs/>
          <w:sz w:val="32"/>
          <w:szCs w:val="32"/>
        </w:rPr>
        <w:t>七、竞赛环境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工位内设有操作平台，每工位配备220V电源，工位内的电缆线应符合安全要求。确保参赛队之间互不干扰。竞赛工位标明工位号，并配备竞赛平台和技术工作要求的软、硬件。环境标准要求保证赛场采光(大于500lux)、照明和通风良好；每支参赛队提供一个垃圾箱。</w:t>
      </w:r>
    </w:p>
    <w:p>
      <w:pPr>
        <w:pStyle w:val="55"/>
        <w:keepNext/>
        <w:ind w:firstLine="643" w:firstLineChars="200"/>
        <w:jc w:val="both"/>
        <w:rPr>
          <w:rFonts w:hint="eastAsia"/>
          <w:b/>
          <w:bCs/>
          <w:sz w:val="32"/>
          <w:szCs w:val="32"/>
        </w:rPr>
      </w:pPr>
      <w:r>
        <w:rPr>
          <w:rFonts w:hint="eastAsia"/>
          <w:b/>
          <w:bCs/>
          <w:sz w:val="32"/>
          <w:szCs w:val="32"/>
        </w:rPr>
        <w:t>八、技术规范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该赛项涉及的信息网络安全工程在设计、组建过程中，主要有以下7项国家标准，参赛队在实施竞赛项目中要求遵循如下规范：</w:t>
      </w:r>
    </w:p>
    <w:p>
      <w:pPr>
        <w:adjustRightInd w:val="0"/>
        <w:snapToGrid w:val="0"/>
        <w:spacing w:line="560" w:lineRule="exact"/>
        <w:ind w:firstLine="560" w:firstLineChars="200"/>
        <w:rPr>
          <w:rFonts w:ascii="仿宋" w:hAnsi="仿宋" w:eastAsia="仿宋"/>
          <w:color w:val="000000" w:themeColor="text1"/>
          <w:sz w:val="28"/>
          <w:szCs w:val="28"/>
        </w:rPr>
      </w:pP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序号</w:t>
            </w:r>
          </w:p>
        </w:tc>
        <w:tc>
          <w:tcPr>
            <w:tcW w:w="2126"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标准号</w:t>
            </w:r>
          </w:p>
        </w:tc>
        <w:tc>
          <w:tcPr>
            <w:tcW w:w="5466"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1</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 17859-1999</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2</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20271-2006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3</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20270-2006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4</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20272-2006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5</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20273-2006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6</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GA/T 671-2006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7</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20269-2006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《信息安全技术信息系统安全管理要求》</w:t>
            </w:r>
          </w:p>
        </w:tc>
      </w:tr>
    </w:tbl>
    <w:p>
      <w:pPr>
        <w:pStyle w:val="55"/>
        <w:keepNext/>
        <w:ind w:firstLine="643" w:firstLineChars="200"/>
        <w:jc w:val="both"/>
        <w:rPr>
          <w:rFonts w:hint="eastAsia"/>
          <w:b/>
          <w:bCs/>
          <w:sz w:val="32"/>
          <w:szCs w:val="32"/>
        </w:rPr>
      </w:pPr>
      <w:r>
        <w:rPr>
          <w:rFonts w:hint="eastAsia"/>
          <w:b/>
          <w:bCs/>
          <w:sz w:val="32"/>
          <w:szCs w:val="32"/>
        </w:rPr>
        <w:t>九、技术平台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（一）竞赛软件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赛项执委会提供个人计算机（安装Windows操作系统），用以组建竞赛操作环境，并安装Office、Adobe Reader等常用应用软件。</w:t>
      </w:r>
    </w:p>
    <w:tbl>
      <w:tblPr>
        <w:tblStyle w:val="21"/>
        <w:tblW w:w="8342" w:type="dxa"/>
        <w:jc w:val="center"/>
        <w:tblLayout w:type="fixed"/>
        <w:tblCellMar>
          <w:top w:w="0" w:type="dxa"/>
          <w:left w:w="108" w:type="dxa"/>
          <w:bottom w:w="0" w:type="dxa"/>
          <w:right w:w="108" w:type="dxa"/>
        </w:tblCellMar>
      </w:tblPr>
      <w:tblGrid>
        <w:gridCol w:w="878"/>
        <w:gridCol w:w="4204"/>
        <w:gridCol w:w="3260"/>
      </w:tblGrid>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软件</w:t>
            </w:r>
          </w:p>
        </w:tc>
        <w:tc>
          <w:tcPr>
            <w:tcW w:w="3260"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介绍</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操作系统</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Microsoft Office</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文档编辑工具</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V</w:t>
            </w:r>
            <w:r>
              <w:rPr>
                <w:rFonts w:ascii="仿宋" w:hAnsi="仿宋" w:eastAsia="仿宋" w:cs="宋体"/>
                <w:color w:val="000000" w:themeColor="text1"/>
                <w:kern w:val="0"/>
                <w:sz w:val="24"/>
                <w:szCs w:val="24"/>
              </w:rPr>
              <w:t>M</w:t>
            </w:r>
            <w:r>
              <w:rPr>
                <w:rFonts w:hint="eastAsia" w:ascii="仿宋" w:hAnsi="仿宋" w:eastAsia="仿宋" w:cs="宋体"/>
                <w:color w:val="000000" w:themeColor="text1"/>
                <w:kern w:val="0"/>
                <w:sz w:val="24"/>
                <w:szCs w:val="24"/>
              </w:rPr>
              <w:t>ware</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虚拟机运行环境</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4204" w:type="dxa"/>
            <w:tcBorders>
              <w:top w:val="nil"/>
              <w:left w:val="nil"/>
              <w:bottom w:val="single" w:color="auto" w:sz="4" w:space="0"/>
              <w:right w:val="single" w:color="auto" w:sz="4" w:space="0"/>
            </w:tcBorders>
            <w:vAlign w:val="center"/>
          </w:tcPr>
          <w:p>
            <w:pPr>
              <w:adjustRightInd w:val="0"/>
              <w:snapToGrid w:val="0"/>
              <w:rPr>
                <w:rFonts w:hint="default"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rPr>
              <w:t>超级终端</w:t>
            </w:r>
            <w:r>
              <w:rPr>
                <w:rFonts w:hint="eastAsia" w:ascii="仿宋" w:hAnsi="仿宋" w:eastAsia="仿宋" w:cs="宋体"/>
                <w:color w:val="000000" w:themeColor="text1"/>
                <w:kern w:val="0"/>
                <w:sz w:val="24"/>
                <w:szCs w:val="24"/>
                <w:lang w:eastAsia="zh-CN"/>
              </w:rPr>
              <w:t>、</w:t>
            </w:r>
            <w:r>
              <w:rPr>
                <w:rFonts w:hint="eastAsia" w:ascii="仿宋" w:hAnsi="仿宋" w:eastAsia="仿宋" w:cs="宋体"/>
                <w:color w:val="000000" w:themeColor="text1"/>
                <w:kern w:val="0"/>
                <w:sz w:val="24"/>
                <w:szCs w:val="24"/>
                <w:lang w:val="en-US" w:eastAsia="zh-CN"/>
              </w:rPr>
              <w:t>SecureCRT</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设备调试连接工具</w:t>
            </w:r>
          </w:p>
        </w:tc>
      </w:tr>
    </w:tbl>
    <w:p>
      <w:pPr>
        <w:adjustRightInd w:val="0"/>
        <w:snapToGrid w:val="0"/>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赛项执委会提供渗透测试机、攻防竞技平台和靶机虚拟机等环境。</w:t>
      </w:r>
    </w:p>
    <w:tbl>
      <w:tblPr>
        <w:tblStyle w:val="21"/>
        <w:tblW w:w="8359" w:type="dxa"/>
        <w:jc w:val="center"/>
        <w:tblLayout w:type="fixed"/>
        <w:tblCellMar>
          <w:top w:w="0" w:type="dxa"/>
          <w:left w:w="108" w:type="dxa"/>
          <w:bottom w:w="0" w:type="dxa"/>
          <w:right w:w="108" w:type="dxa"/>
        </w:tblCellMar>
      </w:tblPr>
      <w:tblGrid>
        <w:gridCol w:w="878"/>
        <w:gridCol w:w="4204"/>
        <w:gridCol w:w="3277"/>
      </w:tblGrid>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平台环境</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介绍</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Cs/>
                <w:color w:val="000000" w:themeColor="text1"/>
                <w:kern w:val="0"/>
                <w:sz w:val="24"/>
                <w:szCs w:val="24"/>
              </w:rPr>
            </w:pPr>
            <w:r>
              <w:rPr>
                <w:rFonts w:hint="eastAsia" w:ascii="仿宋" w:hAnsi="仿宋" w:eastAsia="仿宋" w:cs="宋体"/>
                <w:bCs/>
                <w:color w:val="000000" w:themeColor="text1"/>
                <w:kern w:val="0"/>
                <w:sz w:val="24"/>
                <w:szCs w:val="24"/>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Cs/>
                <w:color w:val="000000" w:themeColor="text1"/>
                <w:kern w:val="0"/>
                <w:sz w:val="24"/>
                <w:szCs w:val="24"/>
              </w:rPr>
            </w:pPr>
            <w:r>
              <w:rPr>
                <w:rFonts w:ascii="仿宋" w:hAnsi="仿宋" w:eastAsia="仿宋" w:cs="宋体"/>
                <w:bCs/>
                <w:color w:val="000000" w:themeColor="text1"/>
                <w:kern w:val="0"/>
                <w:sz w:val="24"/>
                <w:szCs w:val="24"/>
              </w:rPr>
              <w:t>W</w:t>
            </w:r>
            <w:r>
              <w:rPr>
                <w:rFonts w:hint="eastAsia" w:ascii="仿宋" w:hAnsi="仿宋" w:eastAsia="仿宋" w:cs="宋体"/>
                <w:bCs/>
                <w:color w:val="000000" w:themeColor="text1"/>
                <w:kern w:val="0"/>
                <w:sz w:val="24"/>
                <w:szCs w:val="24"/>
              </w:rPr>
              <w:t>indows</w:t>
            </w:r>
            <w:r>
              <w:rPr>
                <w:rFonts w:ascii="仿宋" w:hAnsi="仿宋" w:eastAsia="仿宋" w:cs="宋体"/>
                <w:bCs/>
                <w:color w:val="000000" w:themeColor="text1"/>
                <w:kern w:val="0"/>
                <w:sz w:val="24"/>
                <w:szCs w:val="24"/>
              </w:rPr>
              <w:t xml:space="preserve"> 7\Windows XP</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color w:val="000000" w:themeColor="text1"/>
                <w:kern w:val="0"/>
                <w:sz w:val="24"/>
                <w:szCs w:val="24"/>
              </w:rPr>
              <w:t>Windows客户机操作系统</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ascii="仿宋" w:hAnsi="仿宋" w:eastAsia="仿宋" w:cs="宋体"/>
                <w:color w:val="000000" w:themeColor="text1"/>
                <w:kern w:val="0"/>
                <w:sz w:val="24"/>
                <w:szCs w:val="24"/>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 Server 2003</w:t>
            </w:r>
            <w:r>
              <w:rPr>
                <w:rFonts w:ascii="仿宋" w:hAnsi="仿宋" w:eastAsia="仿宋" w:cs="宋体"/>
                <w:color w:val="000000" w:themeColor="text1"/>
                <w:kern w:val="0"/>
                <w:sz w:val="24"/>
                <w:szCs w:val="24"/>
              </w:rPr>
              <w:t>\2008</w:t>
            </w:r>
          </w:p>
        </w:tc>
        <w:tc>
          <w:tcPr>
            <w:tcW w:w="3277"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Windows服务器操作系统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ascii="仿宋" w:hAnsi="仿宋" w:eastAsia="仿宋" w:cs="宋体"/>
                <w:color w:val="000000" w:themeColor="text1"/>
                <w:kern w:val="0"/>
                <w:sz w:val="24"/>
                <w:szCs w:val="24"/>
              </w:rPr>
              <w:t xml:space="preserve">Linux </w:t>
            </w:r>
            <w:r>
              <w:rPr>
                <w:rFonts w:hint="eastAsia" w:ascii="仿宋" w:hAnsi="仿宋" w:eastAsia="仿宋" w:cs="宋体"/>
                <w:color w:val="000000" w:themeColor="text1"/>
                <w:kern w:val="0"/>
                <w:sz w:val="24"/>
                <w:szCs w:val="24"/>
              </w:rPr>
              <w:t>Cent</w:t>
            </w:r>
            <w:r>
              <w:rPr>
                <w:rFonts w:ascii="仿宋" w:hAnsi="仿宋" w:eastAsia="仿宋" w:cs="宋体"/>
                <w:color w:val="000000" w:themeColor="text1"/>
                <w:kern w:val="0"/>
                <w:sz w:val="24"/>
                <w:szCs w:val="24"/>
              </w:rPr>
              <w:t>OS</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Linux服务器操作系统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DCFW-1800-SDC</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攻防竞技平台系统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5</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Ubuntu\Debian</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渗透测试机操作系统</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（二）竞赛设备清单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赛项执委会提供以下竞赛设备。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91"/>
        <w:gridCol w:w="965"/>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bookmarkStart w:id="0" w:name="OLE_LINK2"/>
            <w:bookmarkStart w:id="1" w:name="OLE_LINK1"/>
            <w:r>
              <w:rPr>
                <w:rFonts w:hint="eastAsia" w:ascii="仿宋" w:hAnsi="仿宋" w:eastAsia="仿宋"/>
                <w:b/>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设备名称</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数量</w:t>
            </w:r>
          </w:p>
        </w:tc>
        <w:tc>
          <w:tcPr>
            <w:tcW w:w="387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参考型号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三层虚拟化交换机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CS6200</w:t>
            </w:r>
            <w:r>
              <w:rPr>
                <w:rFonts w:hint="eastAsia" w:ascii="仿宋" w:hAnsi="仿宋" w:eastAsia="仿宋"/>
                <w:sz w:val="24"/>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防火墙</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DCFW-1800E-N3002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堡垒服务器</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神州数码DCST-6000</w:t>
            </w:r>
            <w:r>
              <w:rPr>
                <w:rFonts w:ascii="仿宋" w:hAnsi="仿宋" w:eastAsia="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4</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ascii="仿宋" w:hAnsi="仿宋" w:eastAsia="仿宋"/>
                <w:sz w:val="24"/>
              </w:rPr>
              <w:t>WEB</w:t>
            </w:r>
            <w:r>
              <w:rPr>
                <w:rFonts w:hint="eastAsia" w:ascii="仿宋" w:hAnsi="仿宋" w:eastAsia="仿宋"/>
                <w:sz w:val="24"/>
              </w:rPr>
              <w:t>应用防火墙</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神州数码DCFW-1800-WAF</w:t>
            </w:r>
            <w:r>
              <w:rPr>
                <w:rFonts w:ascii="仿宋" w:hAnsi="仿宋" w:eastAsia="仿宋"/>
                <w:sz w:val="24"/>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5</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网络日志系统</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神州数码DCBI-NetLog-</w:t>
            </w:r>
            <w:r>
              <w:rPr>
                <w:rFonts w:ascii="仿宋" w:hAnsi="仿宋" w:eastAsia="仿宋"/>
                <w:sz w:val="24"/>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6</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无线交换机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神州数码DCWS-6028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7</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无线接入点</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神州数码WL8200-I2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8</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PC机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多核CPU，</w:t>
            </w:r>
            <w:r>
              <w:rPr>
                <w:rFonts w:ascii="仿宋" w:hAnsi="仿宋" w:eastAsia="仿宋"/>
                <w:sz w:val="24"/>
              </w:rPr>
              <w:t>CPU</w:t>
            </w:r>
            <w:r>
              <w:rPr>
                <w:rFonts w:hint="eastAsia" w:ascii="仿宋" w:hAnsi="仿宋" w:eastAsia="仿宋"/>
                <w:sz w:val="24"/>
              </w:rPr>
              <w:t>主频</w:t>
            </w:r>
            <w:r>
              <w:rPr>
                <w:rFonts w:ascii="仿宋" w:hAnsi="仿宋" w:eastAsia="仿宋"/>
                <w:sz w:val="24"/>
              </w:rPr>
              <w:t>&gt;=3GH</w:t>
            </w:r>
            <w:r>
              <w:rPr>
                <w:rFonts w:hint="eastAsia" w:ascii="仿宋" w:hAnsi="仿宋" w:eastAsia="仿宋"/>
                <w:sz w:val="24"/>
              </w:rPr>
              <w:t>z，</w:t>
            </w:r>
            <w:r>
              <w:rPr>
                <w:rFonts w:ascii="仿宋" w:hAnsi="仿宋" w:eastAsia="仿宋"/>
                <w:sz w:val="24"/>
              </w:rPr>
              <w:t>&gt;=</w:t>
            </w:r>
            <w:r>
              <w:rPr>
                <w:rFonts w:hint="eastAsia" w:ascii="仿宋" w:hAnsi="仿宋" w:eastAsia="仿宋"/>
                <w:sz w:val="24"/>
              </w:rPr>
              <w:t>双核心四线程，内存</w:t>
            </w:r>
            <w:r>
              <w:rPr>
                <w:rFonts w:ascii="仿宋" w:hAnsi="仿宋" w:eastAsia="仿宋"/>
                <w:sz w:val="24"/>
              </w:rPr>
              <w:t>&gt;=8G</w:t>
            </w:r>
            <w:r>
              <w:rPr>
                <w:rFonts w:hint="eastAsia" w:ascii="仿宋" w:hAnsi="仿宋" w:eastAsia="仿宋"/>
                <w:sz w:val="24"/>
              </w:rPr>
              <w:t>，具有</w:t>
            </w:r>
            <w:r>
              <w:rPr>
                <w:rFonts w:ascii="仿宋" w:hAnsi="仿宋" w:eastAsia="仿宋"/>
                <w:sz w:val="24"/>
              </w:rPr>
              <w:t>串口或者配置USB转串口的配置线，</w:t>
            </w:r>
            <w:r>
              <w:rPr>
                <w:rFonts w:hint="eastAsia" w:ascii="仿宋" w:hAnsi="仿宋" w:eastAsia="仿宋"/>
                <w:sz w:val="24"/>
              </w:rPr>
              <w:t>支持硬件虚拟化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9</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耗材、工具</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若干</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压线钳、镙丝刀、缆线、跳线、水晶头、插排等</w:t>
            </w:r>
          </w:p>
        </w:tc>
      </w:tr>
      <w:bookmarkEnd w:id="0"/>
      <w:bookmarkEnd w:id="1"/>
    </w:tbl>
    <w:p/>
    <w:p>
      <w:pPr>
        <w:pStyle w:val="55"/>
        <w:keepNext/>
        <w:ind w:firstLine="643" w:firstLineChars="200"/>
        <w:jc w:val="both"/>
        <w:rPr>
          <w:rFonts w:hint="eastAsia"/>
          <w:b/>
          <w:bCs/>
          <w:sz w:val="32"/>
          <w:szCs w:val="32"/>
        </w:rPr>
      </w:pPr>
      <w:r>
        <w:rPr>
          <w:rFonts w:hint="eastAsia"/>
          <w:b/>
          <w:bCs/>
          <w:sz w:val="32"/>
          <w:szCs w:val="32"/>
        </w:rPr>
        <w:t>十、成绩评定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（一）裁判评分方法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裁判组负责竞赛机考评分和结果性评分，由裁判长负责竞赛全过程；裁判员提前报到，报到后所有裁判的手机全部上缴裁判长统一保管，评分结束返回，保证竞赛的公正与公平。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现场有监督员、裁判员、监考员、技术支持队伍等组成，分工明确。监考员负责与参赛队伍的交流沟通及试卷等材料的收发，裁判员负责设备问题确认和现场执裁，技术支持负责执行裁判确认后的设备应急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竞赛评分严格按照公平、公正、公开的原则，评分标准注重考查参赛选手以下各方面的能力和水平：</w:t>
      </w: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61"/>
        <w:gridCol w:w="2653"/>
        <w:gridCol w:w="8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vAlign w:val="center"/>
          </w:tcPr>
          <w:p>
            <w:pPr>
              <w:adjustRightInd w:val="0"/>
              <w:snapToGrid w:val="0"/>
              <w:jc w:val="center"/>
              <w:rPr>
                <w:rFonts w:ascii="仿宋" w:hAnsi="仿宋" w:eastAsia="仿宋"/>
                <w:b/>
                <w:sz w:val="24"/>
              </w:rPr>
            </w:pPr>
            <w:r>
              <w:rPr>
                <w:rFonts w:hint="eastAsia" w:ascii="仿宋" w:hAnsi="仿宋" w:eastAsia="仿宋"/>
                <w:b/>
                <w:sz w:val="24"/>
              </w:rPr>
              <w:t>竞赛阶段</w:t>
            </w:r>
          </w:p>
        </w:tc>
        <w:tc>
          <w:tcPr>
            <w:tcW w:w="1761" w:type="dxa"/>
            <w:vAlign w:val="center"/>
          </w:tcPr>
          <w:p>
            <w:pPr>
              <w:adjustRightInd w:val="0"/>
              <w:snapToGrid w:val="0"/>
              <w:jc w:val="center"/>
              <w:rPr>
                <w:rFonts w:ascii="仿宋" w:hAnsi="仿宋" w:eastAsia="仿宋"/>
                <w:b/>
                <w:sz w:val="24"/>
              </w:rPr>
            </w:pPr>
            <w:r>
              <w:rPr>
                <w:rFonts w:hint="eastAsia" w:ascii="仿宋" w:hAnsi="仿宋" w:eastAsia="仿宋"/>
                <w:b/>
                <w:sz w:val="24"/>
              </w:rPr>
              <w:t>竞赛任务</w:t>
            </w:r>
          </w:p>
        </w:tc>
        <w:tc>
          <w:tcPr>
            <w:tcW w:w="2653" w:type="dxa"/>
            <w:vAlign w:val="center"/>
          </w:tcPr>
          <w:p>
            <w:pPr>
              <w:adjustRightInd w:val="0"/>
              <w:snapToGrid w:val="0"/>
              <w:jc w:val="center"/>
              <w:rPr>
                <w:rFonts w:ascii="仿宋" w:hAnsi="仿宋" w:eastAsia="仿宋"/>
                <w:b/>
                <w:sz w:val="24"/>
              </w:rPr>
            </w:pPr>
            <w:r>
              <w:rPr>
                <w:rFonts w:hint="eastAsia" w:ascii="仿宋" w:hAnsi="仿宋" w:eastAsia="仿宋"/>
                <w:b/>
                <w:sz w:val="24"/>
              </w:rPr>
              <w:t>考核内容</w:t>
            </w:r>
          </w:p>
        </w:tc>
        <w:tc>
          <w:tcPr>
            <w:tcW w:w="828" w:type="dxa"/>
            <w:vAlign w:val="center"/>
          </w:tcPr>
          <w:p>
            <w:pPr>
              <w:adjustRightInd w:val="0"/>
              <w:snapToGrid w:val="0"/>
              <w:jc w:val="center"/>
              <w:rPr>
                <w:rFonts w:ascii="仿宋" w:hAnsi="仿宋" w:eastAsia="仿宋"/>
                <w:b/>
                <w:sz w:val="24"/>
              </w:rPr>
            </w:pPr>
            <w:r>
              <w:rPr>
                <w:rFonts w:hint="eastAsia" w:ascii="仿宋" w:hAnsi="仿宋" w:eastAsia="仿宋"/>
                <w:b/>
                <w:sz w:val="24"/>
              </w:rPr>
              <w:t>分值</w:t>
            </w:r>
          </w:p>
        </w:tc>
        <w:tc>
          <w:tcPr>
            <w:tcW w:w="1843" w:type="dxa"/>
            <w:vAlign w:val="center"/>
          </w:tcPr>
          <w:p>
            <w:pPr>
              <w:adjustRightInd w:val="0"/>
              <w:snapToGrid w:val="0"/>
              <w:jc w:val="center"/>
              <w:rPr>
                <w:rFonts w:ascii="仿宋" w:hAnsi="仿宋" w:eastAsia="仿宋"/>
                <w:b/>
                <w:sz w:val="24"/>
              </w:rPr>
            </w:pPr>
            <w:r>
              <w:rPr>
                <w:rFonts w:hint="eastAsia" w:ascii="仿宋" w:hAnsi="仿宋" w:eastAsia="仿宋"/>
                <w:b/>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第一阶段</w:t>
            </w:r>
          </w:p>
          <w:p>
            <w:pPr>
              <w:adjustRightInd w:val="0"/>
              <w:snapToGrid w:val="0"/>
              <w:jc w:val="center"/>
              <w:rPr>
                <w:rFonts w:ascii="仿宋" w:hAnsi="仿宋" w:eastAsia="仿宋"/>
                <w:sz w:val="24"/>
              </w:rPr>
            </w:pPr>
            <w:r>
              <w:rPr>
                <w:rFonts w:hint="eastAsia" w:ascii="仿宋" w:hAnsi="仿宋" w:eastAsia="仿宋"/>
                <w:sz w:val="24"/>
              </w:rPr>
              <w:t>权重30%</w:t>
            </w: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网络平台搭建</w:t>
            </w:r>
          </w:p>
          <w:p>
            <w:pPr>
              <w:adjustRightInd w:val="0"/>
              <w:snapToGrid w:val="0"/>
              <w:jc w:val="center"/>
              <w:rPr>
                <w:rFonts w:ascii="仿宋" w:hAnsi="仿宋" w:eastAsia="仿宋"/>
                <w:sz w:val="24"/>
              </w:rPr>
            </w:pPr>
            <w:r>
              <w:rPr>
                <w:rFonts w:hint="eastAsia" w:ascii="仿宋" w:hAnsi="仿宋" w:eastAsia="仿宋"/>
                <w:sz w:val="24"/>
              </w:rPr>
              <w:t>权重9%</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网络规划文档</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网络设备配置文件或截图文件</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7%</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网络安全设备配置与防护</w:t>
            </w:r>
          </w:p>
          <w:p>
            <w:pPr>
              <w:adjustRightInd w:val="0"/>
              <w:snapToGrid w:val="0"/>
              <w:jc w:val="center"/>
              <w:rPr>
                <w:rFonts w:ascii="仿宋" w:hAnsi="仿宋" w:eastAsia="仿宋"/>
                <w:sz w:val="24"/>
              </w:rPr>
            </w:pPr>
            <w:r>
              <w:rPr>
                <w:rFonts w:hint="eastAsia" w:ascii="仿宋" w:hAnsi="仿宋" w:eastAsia="仿宋"/>
                <w:sz w:val="24"/>
              </w:rPr>
              <w:t>权重21%</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防火墙配置截图文件</w:t>
            </w:r>
          </w:p>
        </w:tc>
        <w:tc>
          <w:tcPr>
            <w:tcW w:w="828"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21%</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网络日志系统配置截图文件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web应用防火墙配置截图文件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无线控制器配置文件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三层交换机配置文件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1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第二阶段</w:t>
            </w:r>
          </w:p>
          <w:p>
            <w:pPr>
              <w:adjustRightInd w:val="0"/>
              <w:snapToGrid w:val="0"/>
              <w:jc w:val="center"/>
              <w:rPr>
                <w:rFonts w:ascii="仿宋" w:hAnsi="仿宋" w:eastAsia="仿宋"/>
                <w:sz w:val="24"/>
              </w:rPr>
            </w:pPr>
            <w:r>
              <w:rPr>
                <w:rFonts w:hint="eastAsia" w:ascii="仿宋" w:hAnsi="仿宋" w:eastAsia="仿宋"/>
                <w:sz w:val="24"/>
              </w:rPr>
              <w:t>权重40%</w:t>
            </w: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系统安全攻防及运维安全管控</w:t>
            </w:r>
          </w:p>
          <w:p>
            <w:pPr>
              <w:adjustRightInd w:val="0"/>
              <w:snapToGrid w:val="0"/>
              <w:jc w:val="center"/>
              <w:rPr>
                <w:rFonts w:ascii="仿宋" w:hAnsi="仿宋" w:eastAsia="仿宋"/>
                <w:sz w:val="24"/>
              </w:rPr>
            </w:pPr>
            <w:r>
              <w:rPr>
                <w:rFonts w:hint="eastAsia" w:ascii="仿宋" w:hAnsi="仿宋" w:eastAsia="仿宋"/>
                <w:sz w:val="24"/>
              </w:rPr>
              <w:t>权重40%</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服务器加固配置</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20%</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服务器渗透配置</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20%</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第三阶段</w:t>
            </w:r>
          </w:p>
          <w:p>
            <w:pPr>
              <w:adjustRightInd w:val="0"/>
              <w:snapToGrid w:val="0"/>
              <w:jc w:val="center"/>
              <w:rPr>
                <w:rFonts w:ascii="仿宋" w:hAnsi="仿宋" w:eastAsia="仿宋"/>
                <w:sz w:val="24"/>
              </w:rPr>
            </w:pPr>
            <w:r>
              <w:rPr>
                <w:rFonts w:hint="eastAsia" w:ascii="仿宋" w:hAnsi="仿宋" w:eastAsia="仿宋"/>
                <w:sz w:val="24"/>
              </w:rPr>
              <w:t>权重30%</w:t>
            </w: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分组对抗</w:t>
            </w:r>
          </w:p>
          <w:p>
            <w:pPr>
              <w:adjustRightInd w:val="0"/>
              <w:snapToGrid w:val="0"/>
              <w:jc w:val="center"/>
              <w:rPr>
                <w:rFonts w:ascii="仿宋" w:hAnsi="仿宋" w:eastAsia="仿宋"/>
                <w:sz w:val="24"/>
              </w:rPr>
            </w:pPr>
            <w:r>
              <w:rPr>
                <w:rFonts w:hint="eastAsia" w:ascii="仿宋" w:hAnsi="仿宋" w:eastAsia="仿宋"/>
                <w:sz w:val="24"/>
              </w:rPr>
              <w:t>权重30%</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防守成功，坚持到竞赛结束</w:t>
            </w:r>
          </w:p>
        </w:tc>
        <w:tc>
          <w:tcPr>
            <w:tcW w:w="828"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30%</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机考评分-客观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渗透成功</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机考评分-客观</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（三）注意事项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参赛选手应体现团队风貌、团队协作与沟通、组织与管理能力和工作计划能力等，并注意相关文档的准确性与规范性。</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竞赛过程中，参赛选手如有不服从裁判判决、扰乱赛场秩序、舞弊等不文明行为，由裁判组按照规定扣减相应分数，情节严重的取消竞赛资格。选手有下列情形，需从比赛成绩中扣分：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违反比赛规定，提前进行操作或比赛终止后仍继续操作的，由现场裁判负责记录并酌情扣1-5分。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在竞赛过程中，违反操作规程，影响其他选手比赛的，未造成设备损坏的参赛队，扣5-10分。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在竞赛过程中，造成设备损坏或影响他人比赛、情节严重的报竞赛执委会批准，终止该参赛队的比赛，竞赛成绩以0分计算。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（四）成绩复核与公布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竞赛成绩以复核无误后，经项目裁判、监督人员审核签字后确定。竞赛成绩按照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省职业院校技能大赛委员会相关规定予以发布。若有异议，经过规定程序仲裁后，按照仲裁结果公布比赛成绩。</w:t>
      </w:r>
    </w:p>
    <w:p>
      <w:pPr>
        <w:pStyle w:val="55"/>
        <w:keepNext/>
        <w:ind w:firstLine="643" w:firstLineChars="200"/>
        <w:jc w:val="both"/>
        <w:rPr>
          <w:rFonts w:hint="eastAsia"/>
          <w:b/>
          <w:bCs/>
          <w:sz w:val="32"/>
          <w:szCs w:val="32"/>
        </w:rPr>
      </w:pPr>
      <w:r>
        <w:rPr>
          <w:rFonts w:hint="eastAsia"/>
          <w:b/>
          <w:bCs/>
          <w:sz w:val="32"/>
          <w:szCs w:val="32"/>
        </w:rPr>
        <w:t>十一、申诉与仲裁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省职业院校技能大赛设仲裁工作委员会，赛点设仲裁工作组，组长由大赛组委会办公室指派，组员为赛项裁判长和赛点执委会主任。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提出申诉应在赛项比赛结束后 1 小时内向赛点仲裁组提出。超过时效不予受理。提出申诉后申诉人及相关涉及人员不得离开赛点，否则视为自行放弃申诉。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赛点仲裁工作组在接到申诉报告后的 2 小时内组织复议，并及时将复议结果以书面形式告知申诉方。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对赛点仲裁组复议结果不服的，可由代表队所在院校校级领导向大赛仲裁委员会提出申诉。大赛仲裁委员会的仲裁结果为最终结果。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申诉方不得以任何理由拒绝接收仲裁结果；不得以任何理由采取过激行为扰乱赛场秩序；仲裁结果由申诉人签收，不能代收；如在约定时间和地点申诉人离开，视为撤诉。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申诉方可随时提出放弃申诉。</w:t>
      </w:r>
    </w:p>
    <w:p>
      <w:pPr>
        <w:pStyle w:val="55"/>
        <w:keepNext/>
        <w:ind w:firstLine="643" w:firstLineChars="200"/>
        <w:jc w:val="both"/>
        <w:rPr>
          <w:rFonts w:hint="eastAsia"/>
          <w:b/>
          <w:bCs/>
          <w:sz w:val="32"/>
          <w:szCs w:val="32"/>
        </w:rPr>
      </w:pPr>
      <w:r>
        <w:rPr>
          <w:rFonts w:hint="eastAsia"/>
          <w:b/>
          <w:bCs/>
          <w:sz w:val="32"/>
          <w:szCs w:val="32"/>
        </w:rPr>
        <w:t>十二、竞赛观摩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媒体可以在不打扰选手竞赛的要求下，沿现场指定观摩通道有组织地参观竞赛现场，了解信息安全技术及职业教育教学成果。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在赛场外布置开放式展区，对信息安全技术应用进行科普宣传，将信息安全技术在人们生活中的应用对公众进行展现。</w:t>
      </w:r>
    </w:p>
    <w:p>
      <w:pPr>
        <w:pStyle w:val="55"/>
        <w:keepNext/>
        <w:ind w:firstLine="643" w:firstLineChars="200"/>
        <w:jc w:val="both"/>
        <w:rPr>
          <w:rFonts w:hint="eastAsia"/>
          <w:b/>
          <w:bCs/>
          <w:sz w:val="32"/>
          <w:szCs w:val="32"/>
        </w:rPr>
      </w:pPr>
      <w:r>
        <w:rPr>
          <w:rFonts w:hint="eastAsia"/>
          <w:b/>
          <w:bCs/>
          <w:sz w:val="32"/>
          <w:szCs w:val="32"/>
        </w:rPr>
        <w:t>十三、竞赛视频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比赛过程全程监控。</w:t>
      </w:r>
    </w:p>
    <w:p>
      <w:pPr>
        <w:pStyle w:val="55"/>
        <w:keepNext/>
        <w:ind w:firstLine="643" w:firstLineChars="200"/>
        <w:jc w:val="both"/>
        <w:rPr>
          <w:rFonts w:hint="eastAsia"/>
          <w:b/>
          <w:bCs/>
          <w:sz w:val="32"/>
          <w:szCs w:val="32"/>
        </w:rPr>
      </w:pPr>
      <w:r>
        <w:rPr>
          <w:rFonts w:hint="eastAsia"/>
          <w:b/>
          <w:bCs/>
          <w:sz w:val="32"/>
          <w:szCs w:val="32"/>
        </w:rPr>
        <w:t>十四、资源转化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“以赛促教、以赛促改、以赛促学”是</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省职业院校技能大赛的重要目的。将竞赛内容成功转化为可教学化的资源无疑是实现这一目的的重要保障。为此，拟制定如下教学资源转化方案。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（一）计划完成大赛成果转化课程开发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完成基于大赛成果构建相关课程标准，将大赛相关知识和成果融入相关课程教学工作中。</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（二）计划完成大赛成果转化实训系统开发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完成基于竞赛设备构建信息安全实训室建设方案。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（三）计划师资培训</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赛项合作企业神州数码将针对</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省计划进行 1-2 期师资培训，进行赛项复盘演练和信息安全技术培训，培训内容定为信息安全技术基础，信息安全在工作与生活中的应用，系统信息安全实战，网络信息安全实战，安全云桌面等内容。</w:t>
      </w:r>
    </w:p>
    <w:p>
      <w:pPr>
        <w:pStyle w:val="55"/>
        <w:keepNext/>
        <w:ind w:firstLine="643" w:firstLineChars="200"/>
        <w:jc w:val="both"/>
        <w:rPr>
          <w:rFonts w:hint="eastAsia"/>
          <w:b/>
          <w:bCs/>
          <w:sz w:val="32"/>
          <w:szCs w:val="32"/>
        </w:rPr>
      </w:pPr>
      <w:r>
        <w:rPr>
          <w:rFonts w:hint="eastAsia"/>
          <w:b/>
          <w:bCs/>
          <w:sz w:val="32"/>
          <w:szCs w:val="32"/>
        </w:rPr>
        <w:t>十五、其他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（一）赛项安全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赛事安全是</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省职业院校技能大赛一切工作顺利开展的先决条件，是本赛项筹备和运行工作必须考虑的核心问题。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组织机构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赛项设计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赛项技术文件应包含国家（或行业）有关职业岗位安全的规范、条例和资格证书要求等内容。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赛项执委会须制定专门方案保证比赛命题、赛题保管和评判过程的安全。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比赛环境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环境安全保障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操作安全保障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赛前要对选手进行计算机、网络设备、工具等操作的安全培训，进行安全操作的宣讲，确保每个队员能够安全操作设备后方可进行比赛。裁判员在比赛前，宣读安全注意事项，强调用火、用电安全规则。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整个大赛过程邀请当地公安系统、卫生系统和保险系统协助支持。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参赛队由各参赛校负责参赛选手旅途及竞赛过程中的安全保障。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赛场周围要设立警戒线，防止无关人员进入发生意外事件。比赛现场内应参照相关职业岗位的要求为选手提供必要的劳动保护。在具有危险性的操作环节，裁判员要严防选手出现错误操作。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承办单位应提供保证应急预案实施的条件。对于比赛内容涉及高空作业、可能有坠物、大用电量、易发生火灾等情况的赛项，必须明确制度和预案，并配备急救人员与设施。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赛项执委会须会同承办单位制定开放赛场和体验区的人员疏导方案。赛场环境中存在人员密集、车流人流交错的区域，除了设置齐全的指示标志外，须增加引导人员，并开辟备用通道。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大赛期间，赛项承办单位须在赛场管理的关键岗位，增加力量，建立安全管理日志。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生活条件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比赛期间，原则上由赛事承办单位统一安排参赛选手和指导教师食宿。承办单位须尊重少数民族的信仰及文化，根据国家相关的民族政策，安排好少数民族选手和教师的饮食起居。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比赛期间安排的住宿地应具有宾馆/住宿经营许可资质。以学校宿舍作为住宿地的，大赛期间的住宿、卫生、饮食安全等由赛项执委会和提供宿舍的学校共同负责。</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大赛期间有组织的参观和观摩活动的交通安全由赛项执委会负责。赛项执委会和承办单位须保证比赛期间选手、指导教师和裁判员、工作人员的交通安全。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各赛项的安全管理，除了可以采取必要的安全隔离措施外，应严格遵守国家相关法律法规，保护个人隐私和人身自由。</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领队责任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各参赛队领队须加强参赛人员的安全管理，实现与赛场安全管理的对接。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应急处理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比赛期间发生意外事故，发现者应第一时间报告赛项执委会，同时采取措施避免事态扩大。</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参赛队须知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各参赛队要发扬良好道德风尚，听从指挥，服从裁判，不弄虚作假。如发现弄虚作假者，取消参赛资格，名次无效。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各参赛队领队要坚决执行竞赛的各项规定，加强对参赛人员的管理，做好赛前准备工作，督促选手带好证件等竞赛相关材料。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竞赛过程中，除参加当场次竞赛的选手、执行裁判员、现场工作人员和经批准的人员外，领队、指导教师及其他人员一律不得进入竞赛现场。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参赛队若对竞赛过程有异议，在规定的时间内由领队向赛项仲裁工作组提出书面报告。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对申诉的仲裁结果，领队要带头服从和执行，并做好选手工作。参赛选手不得因申诉或处理意见不服而停止竞赛，否则以弃权处理。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指导老师应及时查看大赛专用网页有关赛项的通知和内容，认真研究和掌握本赛项竞赛的规程、技术规范和赛场要求，指导选手做好赛前的一切技术准备和竞赛准备。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参赛队领队应对本队参赛队员和指导教师的参赛期间安全负责，参赛学校须为参赛选手和指导教师购买意外保险。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领队和指导教师应在赛后做好赛事总结和工作总结。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指导教师须知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各参赛代表队要发扬良好道德风尚，听从指挥，服从裁判，不弄虚作假。如发现弄虚作假者，取消参赛资格，名次无效。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各代表队领队要坚决执行竞赛的各项规定，加强对参赛人员的管理，做好赛前准备工作，督促选手带好证件等竞赛相关材料。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竞赛过程中，除参加当场次竞赛的选手、执行裁判员、现场工作人员和经批准的人员外，领队、指导教师及其他人员一律不得进入竞赛现场。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参赛代表队若对竞赛过程有异议，在规定的时间内由领队向赛项仲裁工作组提出书面报告。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对申诉的仲裁结果，领队要带头服从和执行，并做好选手工作。参赛选手不得因申诉或对处理意见不服而停止竞赛，否则以弃权处理。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指导老师应及时查看大赛专用网页有关赛项的通知和内容，认真研究和掌握本赛项竞赛的规程、技术规范和赛场要求，指导选手做好赛前的一切技术准备和竞赛准备。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参赛选手须知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参赛选手应按有关要求如实填报个人信息，否则取消竞赛资格。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参赛选手需持统一印制的参赛证和有效身份证件参加竞赛。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参加选手应认真学习领会本次竞赛相关文件，自觉遵守大赛纪律，服从指挥，听从安排，文明参赛。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参加选手请勿携带任何电子设备及其他资料、用品进入赛场。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参赛选手应按照规定时间抵达赛场，凭参赛证、身份证件检录，按要求入场，不得迟到早退。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参赛选手应增强角色意识，科学合理分工与合作。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参赛选手应按有关要求在指定位置就坐。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参赛选手须在确认竞赛内容和现场设备等无误后开始竞赛。在竞赛过程中，确因计算机软件或硬件故障，致使操作无法继续的，经项目裁判长确认，予以启用备用计算机。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2" w:name="_GoBack"/>
      <w:r>
        <w:rPr>
          <w:rFonts w:hint="eastAsia" w:ascii="仿宋_GB2312" w:hAnsi="仿宋_GB2312" w:eastAsia="仿宋_GB2312" w:cs="仿宋_GB2312"/>
          <w:sz w:val="32"/>
          <w:szCs w:val="32"/>
        </w:rPr>
        <w:t>（9） 各参赛选手必须按规范要求操作竞赛设备。一旦出现较严重的安全事故，经总裁判长批准后将立即取消其参赛资格。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（10）参赛选手需详细阅读赛题中竞赛文档命名的要求，不得在提交的竞赛文档中标识出任何关于参赛选手地名、校名、姓名、参赛编号等信息，否则取消竞赛成绩。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竞赛时间终了，选手应全体起立，结束操作。将资料和工具整齐摆放在操作平台上，经工作人员清点，参赛队队长签字确认后可离开赛场，离开赛场时不得带走任何资料；工具、设备损坏的，须有实物存在；工具、设备丢失的，参赛队照价赔偿。</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（12）在竞赛期间，未经执委会批准，参赛选手不得接受其他单位和个人进行的与竞赛内容相关的采访。参赛选手不得将竞赛的相关信息私自公布。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（13）凡在往届本赛项全国大赛中获一等奖的学生,不再参加同一赛项（同一组别）比赛。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工作人员须知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树立服务观念，一切为选手着想，以高度负责的精神、严肃认真的态度和严谨细致的作风，在赛项执委会的领导下，按照各自职责分工和要求认真做好岗位工作。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所有工作人员必须佩带证件，忠于职守，秉公办理，保守秘密。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注意文明礼貌，保持良好形象，熟悉赛项指南。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自觉遵守赛项纪律和规则，服从调配和分工，确保竞赛工作的顺利进行。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提前30分钟到达赛场，严守工作岗位，不迟到，不早退，不得无故离岗，特殊情况需向工作组组长请假。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熟悉竞赛规程，严格按照工作程序和有关规定办事，遇突发事件，按照应急预案，组织指挥人员疏散，确保人员安全。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工作人员在竞赛中若有舞弊行为，立即撤销其工作资格，并严肃处理。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保持通讯畅通，服从统一领导，严格遵守竞赛纪律，加强协作配合，提高工作效率。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bookmarkEnd w:id="2"/>
    <w:sectPr>
      <w:footerReference r:id="rId5" w:type="default"/>
      <w:pgSz w:w="11906" w:h="16838"/>
      <w:pgMar w:top="158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16549"/>
    </w:sdtPr>
    <w:sdtContent>
      <w:sdt>
        <w:sdtPr>
          <w:id w:val="176816550"/>
        </w:sdtPr>
        <w:sdt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115A"/>
    <w:rsid w:val="00001955"/>
    <w:rsid w:val="000028D4"/>
    <w:rsid w:val="00016C34"/>
    <w:rsid w:val="0003264E"/>
    <w:rsid w:val="00036B41"/>
    <w:rsid w:val="00051C86"/>
    <w:rsid w:val="00057DBA"/>
    <w:rsid w:val="00064799"/>
    <w:rsid w:val="00065313"/>
    <w:rsid w:val="0007129C"/>
    <w:rsid w:val="00074603"/>
    <w:rsid w:val="00077D91"/>
    <w:rsid w:val="00083363"/>
    <w:rsid w:val="000A021C"/>
    <w:rsid w:val="000A1E5B"/>
    <w:rsid w:val="000A5D16"/>
    <w:rsid w:val="000B7718"/>
    <w:rsid w:val="000C6F0B"/>
    <w:rsid w:val="000D6914"/>
    <w:rsid w:val="000E0468"/>
    <w:rsid w:val="000F1FBA"/>
    <w:rsid w:val="000F37FB"/>
    <w:rsid w:val="000F3FE3"/>
    <w:rsid w:val="0010281F"/>
    <w:rsid w:val="00113D10"/>
    <w:rsid w:val="00114A6F"/>
    <w:rsid w:val="00117743"/>
    <w:rsid w:val="00120F91"/>
    <w:rsid w:val="0013257A"/>
    <w:rsid w:val="001339F4"/>
    <w:rsid w:val="0014477F"/>
    <w:rsid w:val="00144D09"/>
    <w:rsid w:val="00156E05"/>
    <w:rsid w:val="00161DD6"/>
    <w:rsid w:val="00164238"/>
    <w:rsid w:val="00164FDF"/>
    <w:rsid w:val="00171D11"/>
    <w:rsid w:val="00175C34"/>
    <w:rsid w:val="00177A5D"/>
    <w:rsid w:val="00177E5F"/>
    <w:rsid w:val="001859ED"/>
    <w:rsid w:val="001C2E27"/>
    <w:rsid w:val="001C601F"/>
    <w:rsid w:val="001D1C07"/>
    <w:rsid w:val="001E055E"/>
    <w:rsid w:val="001E25A1"/>
    <w:rsid w:val="001E75D5"/>
    <w:rsid w:val="001F1040"/>
    <w:rsid w:val="002030CD"/>
    <w:rsid w:val="0020473E"/>
    <w:rsid w:val="00204793"/>
    <w:rsid w:val="002216BC"/>
    <w:rsid w:val="00224AF8"/>
    <w:rsid w:val="00244031"/>
    <w:rsid w:val="00244B65"/>
    <w:rsid w:val="00244C8B"/>
    <w:rsid w:val="00245CEA"/>
    <w:rsid w:val="00252734"/>
    <w:rsid w:val="00264008"/>
    <w:rsid w:val="00265CB1"/>
    <w:rsid w:val="00266176"/>
    <w:rsid w:val="00266881"/>
    <w:rsid w:val="00267A9E"/>
    <w:rsid w:val="002859D6"/>
    <w:rsid w:val="002864E1"/>
    <w:rsid w:val="002A2502"/>
    <w:rsid w:val="002A5A19"/>
    <w:rsid w:val="002A7112"/>
    <w:rsid w:val="002B1257"/>
    <w:rsid w:val="002C47EA"/>
    <w:rsid w:val="002D0350"/>
    <w:rsid w:val="002D08FB"/>
    <w:rsid w:val="002D238C"/>
    <w:rsid w:val="002D3751"/>
    <w:rsid w:val="002D60D7"/>
    <w:rsid w:val="002D7F35"/>
    <w:rsid w:val="002E48FC"/>
    <w:rsid w:val="002E708C"/>
    <w:rsid w:val="002F129A"/>
    <w:rsid w:val="002F4AF9"/>
    <w:rsid w:val="003079D0"/>
    <w:rsid w:val="00313D72"/>
    <w:rsid w:val="003227C1"/>
    <w:rsid w:val="0032353C"/>
    <w:rsid w:val="00325EC3"/>
    <w:rsid w:val="00325F40"/>
    <w:rsid w:val="00336402"/>
    <w:rsid w:val="00344387"/>
    <w:rsid w:val="0034471E"/>
    <w:rsid w:val="003463D3"/>
    <w:rsid w:val="00355C54"/>
    <w:rsid w:val="00360B24"/>
    <w:rsid w:val="0036392E"/>
    <w:rsid w:val="00366646"/>
    <w:rsid w:val="00370F45"/>
    <w:rsid w:val="00372652"/>
    <w:rsid w:val="00387B57"/>
    <w:rsid w:val="003913A9"/>
    <w:rsid w:val="0039365C"/>
    <w:rsid w:val="00397AE6"/>
    <w:rsid w:val="003A0E99"/>
    <w:rsid w:val="003B0041"/>
    <w:rsid w:val="003B2323"/>
    <w:rsid w:val="003B27F7"/>
    <w:rsid w:val="003C054C"/>
    <w:rsid w:val="003C257C"/>
    <w:rsid w:val="003D3183"/>
    <w:rsid w:val="003D6B46"/>
    <w:rsid w:val="003F67C0"/>
    <w:rsid w:val="003F718B"/>
    <w:rsid w:val="00400362"/>
    <w:rsid w:val="0040556C"/>
    <w:rsid w:val="00417C9D"/>
    <w:rsid w:val="00440B65"/>
    <w:rsid w:val="004549C6"/>
    <w:rsid w:val="00454AA7"/>
    <w:rsid w:val="00462C91"/>
    <w:rsid w:val="00464962"/>
    <w:rsid w:val="004653A0"/>
    <w:rsid w:val="004666A5"/>
    <w:rsid w:val="00466765"/>
    <w:rsid w:val="00472299"/>
    <w:rsid w:val="00473629"/>
    <w:rsid w:val="00476266"/>
    <w:rsid w:val="00476390"/>
    <w:rsid w:val="00487580"/>
    <w:rsid w:val="004A115A"/>
    <w:rsid w:val="004B09D8"/>
    <w:rsid w:val="004C3B37"/>
    <w:rsid w:val="004C572E"/>
    <w:rsid w:val="004C6A06"/>
    <w:rsid w:val="004D048A"/>
    <w:rsid w:val="004D1D0A"/>
    <w:rsid w:val="004E22BF"/>
    <w:rsid w:val="004E2440"/>
    <w:rsid w:val="004E685F"/>
    <w:rsid w:val="004E7844"/>
    <w:rsid w:val="004F0C19"/>
    <w:rsid w:val="004F2CAD"/>
    <w:rsid w:val="004F779B"/>
    <w:rsid w:val="00503215"/>
    <w:rsid w:val="00504A36"/>
    <w:rsid w:val="00507806"/>
    <w:rsid w:val="00516EC0"/>
    <w:rsid w:val="005220C9"/>
    <w:rsid w:val="00522744"/>
    <w:rsid w:val="00522FF2"/>
    <w:rsid w:val="00527D55"/>
    <w:rsid w:val="00530A4A"/>
    <w:rsid w:val="00535909"/>
    <w:rsid w:val="00545CF0"/>
    <w:rsid w:val="0055172E"/>
    <w:rsid w:val="0056330C"/>
    <w:rsid w:val="005873EC"/>
    <w:rsid w:val="00590241"/>
    <w:rsid w:val="00595889"/>
    <w:rsid w:val="005B15DA"/>
    <w:rsid w:val="005B32EA"/>
    <w:rsid w:val="005B4159"/>
    <w:rsid w:val="005B659E"/>
    <w:rsid w:val="005B6CC1"/>
    <w:rsid w:val="005C415B"/>
    <w:rsid w:val="005D52E6"/>
    <w:rsid w:val="005E0E3B"/>
    <w:rsid w:val="005E7F05"/>
    <w:rsid w:val="005F7179"/>
    <w:rsid w:val="005F74B8"/>
    <w:rsid w:val="00600343"/>
    <w:rsid w:val="006009D8"/>
    <w:rsid w:val="006037DD"/>
    <w:rsid w:val="00606DFA"/>
    <w:rsid w:val="006078A2"/>
    <w:rsid w:val="00607F92"/>
    <w:rsid w:val="006132D5"/>
    <w:rsid w:val="006140DC"/>
    <w:rsid w:val="00615AE9"/>
    <w:rsid w:val="0062109B"/>
    <w:rsid w:val="00621AC6"/>
    <w:rsid w:val="00622C12"/>
    <w:rsid w:val="00622F59"/>
    <w:rsid w:val="00630C91"/>
    <w:rsid w:val="00633982"/>
    <w:rsid w:val="00646B85"/>
    <w:rsid w:val="0065205F"/>
    <w:rsid w:val="00655B97"/>
    <w:rsid w:val="006607D6"/>
    <w:rsid w:val="00663750"/>
    <w:rsid w:val="006668BB"/>
    <w:rsid w:val="00667368"/>
    <w:rsid w:val="00680604"/>
    <w:rsid w:val="00683FDE"/>
    <w:rsid w:val="006847BB"/>
    <w:rsid w:val="00685959"/>
    <w:rsid w:val="006A4330"/>
    <w:rsid w:val="006A720F"/>
    <w:rsid w:val="006A7D45"/>
    <w:rsid w:val="006B2565"/>
    <w:rsid w:val="006D5CC3"/>
    <w:rsid w:val="006E1617"/>
    <w:rsid w:val="006E5E1C"/>
    <w:rsid w:val="006F20B5"/>
    <w:rsid w:val="00705F46"/>
    <w:rsid w:val="00707254"/>
    <w:rsid w:val="00710E28"/>
    <w:rsid w:val="0071593C"/>
    <w:rsid w:val="007174DE"/>
    <w:rsid w:val="007275EB"/>
    <w:rsid w:val="007370F6"/>
    <w:rsid w:val="007439C9"/>
    <w:rsid w:val="00756932"/>
    <w:rsid w:val="0076153F"/>
    <w:rsid w:val="0076697E"/>
    <w:rsid w:val="007930B9"/>
    <w:rsid w:val="00795039"/>
    <w:rsid w:val="00797A25"/>
    <w:rsid w:val="00797A87"/>
    <w:rsid w:val="007C2392"/>
    <w:rsid w:val="007C3FE5"/>
    <w:rsid w:val="007D1AD9"/>
    <w:rsid w:val="007E1CE4"/>
    <w:rsid w:val="007E6B2B"/>
    <w:rsid w:val="007F03B6"/>
    <w:rsid w:val="007F1790"/>
    <w:rsid w:val="008039AB"/>
    <w:rsid w:val="008215BB"/>
    <w:rsid w:val="00824F8A"/>
    <w:rsid w:val="00853310"/>
    <w:rsid w:val="00864497"/>
    <w:rsid w:val="008673E9"/>
    <w:rsid w:val="00877D3D"/>
    <w:rsid w:val="00886D64"/>
    <w:rsid w:val="00892B3D"/>
    <w:rsid w:val="008A229B"/>
    <w:rsid w:val="008A4CA5"/>
    <w:rsid w:val="008A73AE"/>
    <w:rsid w:val="008B1326"/>
    <w:rsid w:val="008B5137"/>
    <w:rsid w:val="008B5B68"/>
    <w:rsid w:val="008C0A02"/>
    <w:rsid w:val="008C5C05"/>
    <w:rsid w:val="008C7220"/>
    <w:rsid w:val="008C75E1"/>
    <w:rsid w:val="008D0BE9"/>
    <w:rsid w:val="008D1949"/>
    <w:rsid w:val="008D2920"/>
    <w:rsid w:val="008E13EC"/>
    <w:rsid w:val="008E416F"/>
    <w:rsid w:val="008F2082"/>
    <w:rsid w:val="008F66C1"/>
    <w:rsid w:val="009048A7"/>
    <w:rsid w:val="00905956"/>
    <w:rsid w:val="00905F7D"/>
    <w:rsid w:val="00912B04"/>
    <w:rsid w:val="009147CF"/>
    <w:rsid w:val="009223E8"/>
    <w:rsid w:val="00925AEE"/>
    <w:rsid w:val="00941D7B"/>
    <w:rsid w:val="00950823"/>
    <w:rsid w:val="009530C7"/>
    <w:rsid w:val="0095625E"/>
    <w:rsid w:val="00957E7C"/>
    <w:rsid w:val="00963456"/>
    <w:rsid w:val="00970F20"/>
    <w:rsid w:val="00975CFC"/>
    <w:rsid w:val="00975D24"/>
    <w:rsid w:val="0097716F"/>
    <w:rsid w:val="00981794"/>
    <w:rsid w:val="00993418"/>
    <w:rsid w:val="009A39AB"/>
    <w:rsid w:val="009B2114"/>
    <w:rsid w:val="009C21D3"/>
    <w:rsid w:val="009C4929"/>
    <w:rsid w:val="009C5D99"/>
    <w:rsid w:val="009D6102"/>
    <w:rsid w:val="00A11C33"/>
    <w:rsid w:val="00A17F6C"/>
    <w:rsid w:val="00A24BCE"/>
    <w:rsid w:val="00A31709"/>
    <w:rsid w:val="00A357C2"/>
    <w:rsid w:val="00A43E6F"/>
    <w:rsid w:val="00A456CE"/>
    <w:rsid w:val="00A479AF"/>
    <w:rsid w:val="00A50091"/>
    <w:rsid w:val="00A506EE"/>
    <w:rsid w:val="00A5297E"/>
    <w:rsid w:val="00A72579"/>
    <w:rsid w:val="00A761A1"/>
    <w:rsid w:val="00A80874"/>
    <w:rsid w:val="00A87075"/>
    <w:rsid w:val="00A87D07"/>
    <w:rsid w:val="00A94818"/>
    <w:rsid w:val="00A96771"/>
    <w:rsid w:val="00AB1141"/>
    <w:rsid w:val="00AB4BC0"/>
    <w:rsid w:val="00AC072B"/>
    <w:rsid w:val="00AC1196"/>
    <w:rsid w:val="00AC37DF"/>
    <w:rsid w:val="00AC5DB9"/>
    <w:rsid w:val="00AD1F45"/>
    <w:rsid w:val="00AD6362"/>
    <w:rsid w:val="00AF27FA"/>
    <w:rsid w:val="00AF476A"/>
    <w:rsid w:val="00AF6D10"/>
    <w:rsid w:val="00B05F05"/>
    <w:rsid w:val="00B12EED"/>
    <w:rsid w:val="00B2032A"/>
    <w:rsid w:val="00B23D4C"/>
    <w:rsid w:val="00B271D2"/>
    <w:rsid w:val="00B27392"/>
    <w:rsid w:val="00B46742"/>
    <w:rsid w:val="00B51884"/>
    <w:rsid w:val="00B631AD"/>
    <w:rsid w:val="00B656A1"/>
    <w:rsid w:val="00B6598E"/>
    <w:rsid w:val="00B65A08"/>
    <w:rsid w:val="00B75D01"/>
    <w:rsid w:val="00B810B2"/>
    <w:rsid w:val="00B82D06"/>
    <w:rsid w:val="00B84250"/>
    <w:rsid w:val="00B87CF6"/>
    <w:rsid w:val="00B963FD"/>
    <w:rsid w:val="00B97A42"/>
    <w:rsid w:val="00BA4C08"/>
    <w:rsid w:val="00BA4F97"/>
    <w:rsid w:val="00BA6E88"/>
    <w:rsid w:val="00BB0C78"/>
    <w:rsid w:val="00BB15CC"/>
    <w:rsid w:val="00BB3EBC"/>
    <w:rsid w:val="00BB3FCD"/>
    <w:rsid w:val="00BC7E3F"/>
    <w:rsid w:val="00BD586F"/>
    <w:rsid w:val="00BD648E"/>
    <w:rsid w:val="00BE232A"/>
    <w:rsid w:val="00BE2866"/>
    <w:rsid w:val="00C021A4"/>
    <w:rsid w:val="00C03F00"/>
    <w:rsid w:val="00C077D6"/>
    <w:rsid w:val="00C12B6A"/>
    <w:rsid w:val="00C17864"/>
    <w:rsid w:val="00C337E6"/>
    <w:rsid w:val="00C35EBA"/>
    <w:rsid w:val="00C37B60"/>
    <w:rsid w:val="00C45FEA"/>
    <w:rsid w:val="00C4796C"/>
    <w:rsid w:val="00C57D4C"/>
    <w:rsid w:val="00C61549"/>
    <w:rsid w:val="00C62BA2"/>
    <w:rsid w:val="00C65504"/>
    <w:rsid w:val="00C74903"/>
    <w:rsid w:val="00C752F9"/>
    <w:rsid w:val="00C83DC6"/>
    <w:rsid w:val="00C90483"/>
    <w:rsid w:val="00C90FC1"/>
    <w:rsid w:val="00C93C64"/>
    <w:rsid w:val="00C95788"/>
    <w:rsid w:val="00C9737B"/>
    <w:rsid w:val="00CA15DB"/>
    <w:rsid w:val="00CA77AE"/>
    <w:rsid w:val="00CC4136"/>
    <w:rsid w:val="00CD38F8"/>
    <w:rsid w:val="00CD79CD"/>
    <w:rsid w:val="00CE1292"/>
    <w:rsid w:val="00CE1932"/>
    <w:rsid w:val="00CE2DFE"/>
    <w:rsid w:val="00CE3BB4"/>
    <w:rsid w:val="00CE65F9"/>
    <w:rsid w:val="00CE6E69"/>
    <w:rsid w:val="00CF6B7E"/>
    <w:rsid w:val="00D0517C"/>
    <w:rsid w:val="00D15233"/>
    <w:rsid w:val="00D1771E"/>
    <w:rsid w:val="00D209B3"/>
    <w:rsid w:val="00D30E73"/>
    <w:rsid w:val="00D3550D"/>
    <w:rsid w:val="00D35C1C"/>
    <w:rsid w:val="00D443DE"/>
    <w:rsid w:val="00D804B5"/>
    <w:rsid w:val="00D86E32"/>
    <w:rsid w:val="00D87B18"/>
    <w:rsid w:val="00D9224B"/>
    <w:rsid w:val="00DA1F20"/>
    <w:rsid w:val="00DA65EB"/>
    <w:rsid w:val="00DA684C"/>
    <w:rsid w:val="00DC4F5D"/>
    <w:rsid w:val="00DC6242"/>
    <w:rsid w:val="00DC6E95"/>
    <w:rsid w:val="00DF0C7F"/>
    <w:rsid w:val="00DF1EA7"/>
    <w:rsid w:val="00DF32F8"/>
    <w:rsid w:val="00DF76E3"/>
    <w:rsid w:val="00DF7A11"/>
    <w:rsid w:val="00E07D0B"/>
    <w:rsid w:val="00E112AB"/>
    <w:rsid w:val="00E236AA"/>
    <w:rsid w:val="00E24FC7"/>
    <w:rsid w:val="00E2597C"/>
    <w:rsid w:val="00E513D7"/>
    <w:rsid w:val="00E53A2A"/>
    <w:rsid w:val="00E53B6B"/>
    <w:rsid w:val="00E5567D"/>
    <w:rsid w:val="00E660BF"/>
    <w:rsid w:val="00E66606"/>
    <w:rsid w:val="00E67DE5"/>
    <w:rsid w:val="00E739EA"/>
    <w:rsid w:val="00E82A7A"/>
    <w:rsid w:val="00E91D42"/>
    <w:rsid w:val="00E92B54"/>
    <w:rsid w:val="00E940C3"/>
    <w:rsid w:val="00E95C0A"/>
    <w:rsid w:val="00E962DE"/>
    <w:rsid w:val="00EA0145"/>
    <w:rsid w:val="00EA7E33"/>
    <w:rsid w:val="00EB097B"/>
    <w:rsid w:val="00EB098E"/>
    <w:rsid w:val="00ED4965"/>
    <w:rsid w:val="00EE0FD5"/>
    <w:rsid w:val="00EE18B9"/>
    <w:rsid w:val="00EE50D3"/>
    <w:rsid w:val="00EE534A"/>
    <w:rsid w:val="00EF1EC9"/>
    <w:rsid w:val="00F01041"/>
    <w:rsid w:val="00F135C0"/>
    <w:rsid w:val="00F1614D"/>
    <w:rsid w:val="00F20632"/>
    <w:rsid w:val="00F20E29"/>
    <w:rsid w:val="00F22352"/>
    <w:rsid w:val="00F27F58"/>
    <w:rsid w:val="00F34B5B"/>
    <w:rsid w:val="00F355AB"/>
    <w:rsid w:val="00F357AE"/>
    <w:rsid w:val="00F372CC"/>
    <w:rsid w:val="00F434BC"/>
    <w:rsid w:val="00F46233"/>
    <w:rsid w:val="00F57328"/>
    <w:rsid w:val="00F57B5C"/>
    <w:rsid w:val="00F70689"/>
    <w:rsid w:val="00F762F6"/>
    <w:rsid w:val="00F76DBE"/>
    <w:rsid w:val="00F81631"/>
    <w:rsid w:val="00F91AD3"/>
    <w:rsid w:val="00FB5E9D"/>
    <w:rsid w:val="00FB6D9A"/>
    <w:rsid w:val="00FC31ED"/>
    <w:rsid w:val="00FD4766"/>
    <w:rsid w:val="00FD79E9"/>
    <w:rsid w:val="00FE3ECD"/>
    <w:rsid w:val="00FF4C36"/>
    <w:rsid w:val="05AA70CD"/>
    <w:rsid w:val="1079482A"/>
    <w:rsid w:val="1BC76830"/>
    <w:rsid w:val="20D506EC"/>
    <w:rsid w:val="284F3BE6"/>
    <w:rsid w:val="2CAA255D"/>
    <w:rsid w:val="2D722DE5"/>
    <w:rsid w:val="30D675AD"/>
    <w:rsid w:val="3784760E"/>
    <w:rsid w:val="49403DCA"/>
    <w:rsid w:val="4BF05886"/>
    <w:rsid w:val="5C6915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4">
    <w:name w:val="heading 3"/>
    <w:basedOn w:val="1"/>
    <w:next w:val="1"/>
    <w:link w:val="45"/>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iPriority w:val="0"/>
    <w:pPr>
      <w:ind w:firstLine="420"/>
    </w:pPr>
    <w:rPr>
      <w:szCs w:val="20"/>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9"/>
    <w:unhideWhenUsed/>
    <w:qFormat/>
    <w:uiPriority w:val="0"/>
    <w:pPr>
      <w:jc w:val="left"/>
    </w:pPr>
  </w:style>
  <w:style w:type="paragraph" w:styleId="9">
    <w:name w:val="toc 3"/>
    <w:basedOn w:val="1"/>
    <w:next w:val="1"/>
    <w:unhideWhenUsed/>
    <w:uiPriority w:val="39"/>
    <w:pPr>
      <w:ind w:left="840" w:leftChars="400"/>
    </w:pPr>
    <w:rPr>
      <w:rFonts w:cs="Times New Roman"/>
    </w:rPr>
  </w:style>
  <w:style w:type="paragraph" w:styleId="10">
    <w:name w:val="Date"/>
    <w:basedOn w:val="1"/>
    <w:next w:val="1"/>
    <w:link w:val="50"/>
    <w:unhideWhenUsed/>
    <w:qFormat/>
    <w:uiPriority w:val="99"/>
    <w:pPr>
      <w:ind w:left="100" w:leftChars="2500"/>
    </w:pPr>
    <w:rPr>
      <w:rFonts w:asciiTheme="minorHAnsi" w:hAnsiTheme="minorHAnsi" w:eastAsiaTheme="minorEastAsia" w:cstheme="minorBidi"/>
    </w:rPr>
  </w:style>
  <w:style w:type="paragraph" w:styleId="11">
    <w:name w:val="Balloon Text"/>
    <w:basedOn w:val="1"/>
    <w:link w:val="33"/>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cs="Times New Roman"/>
    </w:rPr>
  </w:style>
  <w:style w:type="paragraph" w:styleId="15">
    <w:name w:val="Subtitle"/>
    <w:basedOn w:val="1"/>
    <w:next w:val="1"/>
    <w:link w:val="32"/>
    <w:qFormat/>
    <w:uiPriority w:val="0"/>
    <w:pPr>
      <w:spacing w:before="240" w:after="60" w:line="312" w:lineRule="auto"/>
      <w:jc w:val="center"/>
      <w:outlineLvl w:val="1"/>
    </w:pPr>
    <w:rPr>
      <w:rFonts w:ascii="Cambria" w:hAnsi="Cambria" w:cs="Times New Roman"/>
      <w:b/>
      <w:bCs/>
      <w:kern w:val="28"/>
      <w:sz w:val="32"/>
      <w:szCs w:val="32"/>
    </w:rPr>
  </w:style>
  <w:style w:type="paragraph" w:styleId="16">
    <w:name w:val="footnote text"/>
    <w:basedOn w:val="1"/>
    <w:link w:val="47"/>
    <w:unhideWhenUsed/>
    <w:qFormat/>
    <w:uiPriority w:val="99"/>
    <w:pPr>
      <w:snapToGrid w:val="0"/>
      <w:jc w:val="left"/>
    </w:pPr>
    <w:rPr>
      <w:rFonts w:ascii="Times New Roman" w:hAnsi="Times New Roman" w:cs="Times New Roman"/>
      <w:kern w:val="0"/>
      <w:sz w:val="18"/>
      <w:szCs w:val="18"/>
    </w:rPr>
  </w:style>
  <w:style w:type="paragraph" w:styleId="17">
    <w:name w:val="toc 2"/>
    <w:basedOn w:val="1"/>
    <w:next w:val="1"/>
    <w:unhideWhenUsed/>
    <w:qFormat/>
    <w:uiPriority w:val="39"/>
    <w:pPr>
      <w:ind w:left="420" w:leftChars="200"/>
    </w:pPr>
    <w:rPr>
      <w:rFonts w:cs="Times New Roman"/>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nhideWhenUsed/>
    <w:qFormat/>
    <w:uiPriority w:val="99"/>
    <w:pPr>
      <w:spacing w:beforeAutospacing="1" w:afterAutospacing="1"/>
      <w:jc w:val="left"/>
    </w:pPr>
    <w:rPr>
      <w:rFonts w:cs="Times New Roman"/>
      <w:kern w:val="0"/>
      <w:sz w:val="24"/>
    </w:rPr>
  </w:style>
  <w:style w:type="paragraph" w:styleId="20">
    <w:name w:val="annotation subject"/>
    <w:basedOn w:val="8"/>
    <w:next w:val="8"/>
    <w:link w:val="40"/>
    <w:unhideWhenUsed/>
    <w:uiPriority w:val="99"/>
    <w:rPr>
      <w:b/>
      <w:bCs/>
    </w:rPr>
  </w:style>
  <w:style w:type="table" w:styleId="22">
    <w:name w:val="Table Grid"/>
    <w:basedOn w:val="21"/>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unhideWhenUsed/>
    <w:qFormat/>
    <w:uiPriority w:val="99"/>
  </w:style>
  <w:style w:type="character" w:styleId="26">
    <w:name w:val="Hyperlink"/>
    <w:unhideWhenUsed/>
    <w:qFormat/>
    <w:uiPriority w:val="99"/>
    <w:rPr>
      <w:color w:val="0000FF"/>
      <w:u w:val="single"/>
    </w:rPr>
  </w:style>
  <w:style w:type="character" w:styleId="27">
    <w:name w:val="annotation reference"/>
    <w:basedOn w:val="23"/>
    <w:unhideWhenUsed/>
    <w:qFormat/>
    <w:uiPriority w:val="0"/>
    <w:rPr>
      <w:sz w:val="21"/>
      <w:szCs w:val="21"/>
    </w:rPr>
  </w:style>
  <w:style w:type="character" w:styleId="28">
    <w:name w:val="footnote reference"/>
    <w:unhideWhenUsed/>
    <w:qFormat/>
    <w:uiPriority w:val="99"/>
    <w:rPr>
      <w:rFonts w:cs="Times New Roman"/>
      <w:vertAlign w:val="superscript"/>
    </w:rPr>
  </w:style>
  <w:style w:type="paragraph" w:customStyle="1" w:styleId="29">
    <w:name w:val="列出段落1"/>
    <w:basedOn w:val="1"/>
    <w:qFormat/>
    <w:uiPriority w:val="0"/>
    <w:pPr>
      <w:ind w:firstLine="420" w:firstLineChars="200"/>
    </w:pPr>
  </w:style>
  <w:style w:type="character" w:customStyle="1" w:styleId="30">
    <w:name w:val="页眉 Char"/>
    <w:basedOn w:val="23"/>
    <w:link w:val="13"/>
    <w:qFormat/>
    <w:uiPriority w:val="99"/>
    <w:rPr>
      <w:sz w:val="18"/>
      <w:szCs w:val="18"/>
    </w:rPr>
  </w:style>
  <w:style w:type="character" w:customStyle="1" w:styleId="31">
    <w:name w:val="页脚 Char"/>
    <w:basedOn w:val="23"/>
    <w:link w:val="12"/>
    <w:qFormat/>
    <w:uiPriority w:val="99"/>
    <w:rPr>
      <w:sz w:val="18"/>
      <w:szCs w:val="18"/>
    </w:rPr>
  </w:style>
  <w:style w:type="character" w:customStyle="1" w:styleId="32">
    <w:name w:val="副标题 Char"/>
    <w:basedOn w:val="23"/>
    <w:link w:val="15"/>
    <w:qFormat/>
    <w:uiPriority w:val="0"/>
    <w:rPr>
      <w:rFonts w:ascii="Cambria" w:hAnsi="Cambria" w:eastAsia="宋体" w:cs="Times New Roman"/>
      <w:b/>
      <w:bCs/>
      <w:kern w:val="28"/>
      <w:sz w:val="32"/>
      <w:szCs w:val="32"/>
    </w:rPr>
  </w:style>
  <w:style w:type="character" w:customStyle="1" w:styleId="33">
    <w:name w:val="批注框文本 Char"/>
    <w:basedOn w:val="23"/>
    <w:link w:val="11"/>
    <w:semiHidden/>
    <w:qFormat/>
    <w:uiPriority w:val="99"/>
    <w:rPr>
      <w:sz w:val="18"/>
      <w:szCs w:val="18"/>
    </w:rPr>
  </w:style>
  <w:style w:type="character" w:customStyle="1" w:styleId="34">
    <w:name w:val="文档结构图 Char"/>
    <w:basedOn w:val="23"/>
    <w:link w:val="7"/>
    <w:semiHidden/>
    <w:qFormat/>
    <w:uiPriority w:val="99"/>
    <w:rPr>
      <w:rFonts w:ascii="宋体" w:hAnsi="Calibri" w:cs="黑体"/>
      <w:kern w:val="2"/>
      <w:sz w:val="18"/>
      <w:szCs w:val="18"/>
    </w:rPr>
  </w:style>
  <w:style w:type="paragraph" w:customStyle="1" w:styleId="35">
    <w:name w:val="修订1"/>
    <w:hidden/>
    <w:semiHidden/>
    <w:qFormat/>
    <w:uiPriority w:val="99"/>
    <w:rPr>
      <w:rFonts w:ascii="Calibri" w:hAnsi="Calibri" w:eastAsia="宋体" w:cs="黑体"/>
      <w:kern w:val="2"/>
      <w:sz w:val="21"/>
      <w:szCs w:val="22"/>
      <w:lang w:val="en-US" w:eastAsia="zh-CN" w:bidi="ar-SA"/>
    </w:rPr>
  </w:style>
  <w:style w:type="paragraph" w:customStyle="1" w:styleId="3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7">
    <w:name w:val="列出段落2"/>
    <w:basedOn w:val="1"/>
    <w:qFormat/>
    <w:uiPriority w:val="99"/>
    <w:pPr>
      <w:ind w:firstLine="420" w:firstLineChars="200"/>
    </w:pPr>
  </w:style>
  <w:style w:type="character" w:customStyle="1" w:styleId="38">
    <w:name w:val="标题 1 Char"/>
    <w:basedOn w:val="23"/>
    <w:link w:val="2"/>
    <w:qFormat/>
    <w:uiPriority w:val="9"/>
    <w:rPr>
      <w:rFonts w:ascii="Calibri" w:hAnsi="Calibri" w:cs="黑体"/>
      <w:b/>
      <w:bCs/>
      <w:kern w:val="44"/>
      <w:sz w:val="44"/>
      <w:szCs w:val="44"/>
    </w:rPr>
  </w:style>
  <w:style w:type="character" w:customStyle="1" w:styleId="39">
    <w:name w:val="批注文字 Char"/>
    <w:basedOn w:val="23"/>
    <w:link w:val="8"/>
    <w:qFormat/>
    <w:uiPriority w:val="0"/>
    <w:rPr>
      <w:rFonts w:ascii="Calibri" w:hAnsi="Calibri" w:cs="黑体"/>
      <w:kern w:val="2"/>
      <w:sz w:val="21"/>
      <w:szCs w:val="22"/>
    </w:rPr>
  </w:style>
  <w:style w:type="character" w:customStyle="1" w:styleId="40">
    <w:name w:val="批注主题 Char"/>
    <w:basedOn w:val="39"/>
    <w:link w:val="20"/>
    <w:semiHidden/>
    <w:qFormat/>
    <w:uiPriority w:val="99"/>
    <w:rPr>
      <w:rFonts w:ascii="Calibri" w:hAnsi="Calibri" w:cs="黑体"/>
      <w:b/>
      <w:bCs/>
      <w:kern w:val="2"/>
      <w:sz w:val="21"/>
      <w:szCs w:val="22"/>
    </w:rPr>
  </w:style>
  <w:style w:type="paragraph" w:customStyle="1" w:styleId="41">
    <w:name w:val="5-内文"/>
    <w:basedOn w:val="1"/>
    <w:link w:val="42"/>
    <w:qFormat/>
    <w:uiPriority w:val="99"/>
    <w:pPr>
      <w:spacing w:beforeLines="25" w:afterLines="25" w:line="300" w:lineRule="auto"/>
      <w:ind w:firstLine="200" w:firstLineChars="200"/>
    </w:pPr>
    <w:rPr>
      <w:rFonts w:eastAsia="仿宋_GB2312" w:cs="Times New Roman"/>
      <w:kern w:val="0"/>
      <w:sz w:val="28"/>
      <w:szCs w:val="20"/>
    </w:rPr>
  </w:style>
  <w:style w:type="character" w:customStyle="1" w:styleId="42">
    <w:name w:val="5-内文 Char"/>
    <w:link w:val="41"/>
    <w:qFormat/>
    <w:locked/>
    <w:uiPriority w:val="99"/>
    <w:rPr>
      <w:rFonts w:ascii="Calibri" w:hAnsi="Calibri" w:eastAsia="仿宋_GB2312"/>
      <w:sz w:val="28"/>
    </w:rPr>
  </w:style>
  <w:style w:type="paragraph" w:customStyle="1" w:styleId="43">
    <w:name w:val="修订2"/>
    <w:hidden/>
    <w:semiHidden/>
    <w:qFormat/>
    <w:uiPriority w:val="99"/>
    <w:rPr>
      <w:rFonts w:ascii="Calibri" w:hAnsi="Calibri" w:eastAsia="宋体" w:cs="黑体"/>
      <w:kern w:val="2"/>
      <w:sz w:val="21"/>
      <w:szCs w:val="22"/>
      <w:lang w:val="en-US" w:eastAsia="zh-CN" w:bidi="ar-SA"/>
    </w:rPr>
  </w:style>
  <w:style w:type="character" w:customStyle="1" w:styleId="44">
    <w:name w:val="标题 2 Char"/>
    <w:basedOn w:val="23"/>
    <w:link w:val="3"/>
    <w:qFormat/>
    <w:uiPriority w:val="9"/>
    <w:rPr>
      <w:rFonts w:ascii="Calibri Light" w:hAnsi="Calibri Light"/>
      <w:b/>
      <w:bCs/>
      <w:sz w:val="32"/>
      <w:szCs w:val="32"/>
      <w:lang w:eastAsia="en-US" w:bidi="en-US"/>
    </w:rPr>
  </w:style>
  <w:style w:type="character" w:customStyle="1" w:styleId="45">
    <w:name w:val="标题 3 Char"/>
    <w:basedOn w:val="23"/>
    <w:link w:val="4"/>
    <w:qFormat/>
    <w:uiPriority w:val="9"/>
    <w:rPr>
      <w:rFonts w:ascii="Calibri" w:hAnsi="Calibri"/>
      <w:b/>
      <w:bCs/>
      <w:kern w:val="2"/>
      <w:sz w:val="32"/>
      <w:szCs w:val="32"/>
    </w:rPr>
  </w:style>
  <w:style w:type="character" w:customStyle="1" w:styleId="46">
    <w:name w:val="标题 4 Char"/>
    <w:basedOn w:val="23"/>
    <w:link w:val="5"/>
    <w:qFormat/>
    <w:uiPriority w:val="9"/>
    <w:rPr>
      <w:rFonts w:ascii="Cambria" w:hAnsi="Cambria"/>
      <w:b/>
      <w:bCs/>
      <w:kern w:val="2"/>
      <w:sz w:val="28"/>
      <w:szCs w:val="28"/>
    </w:rPr>
  </w:style>
  <w:style w:type="character" w:customStyle="1" w:styleId="47">
    <w:name w:val="脚注文本 Char"/>
    <w:basedOn w:val="23"/>
    <w:link w:val="16"/>
    <w:qFormat/>
    <w:uiPriority w:val="99"/>
    <w:rPr>
      <w:sz w:val="18"/>
      <w:szCs w:val="18"/>
    </w:rPr>
  </w:style>
  <w:style w:type="paragraph" w:customStyle="1" w:styleId="48">
    <w:name w:val="Pa4"/>
    <w:basedOn w:val="1"/>
    <w:next w:val="1"/>
    <w:qFormat/>
    <w:uiPriority w:val="99"/>
    <w:pPr>
      <w:autoSpaceDE w:val="0"/>
      <w:autoSpaceDN w:val="0"/>
      <w:adjustRightInd w:val="0"/>
      <w:spacing w:line="301" w:lineRule="atLeast"/>
      <w:jc w:val="left"/>
    </w:pPr>
    <w:rPr>
      <w:rFonts w:ascii="OEEEEV+FZHTJW--GB1-0" w:hAnsi="Times New Roman" w:eastAsia="OEEEEV+FZHTJW--GB1-0" w:cs="Times New Roman"/>
      <w:kern w:val="0"/>
      <w:sz w:val="24"/>
      <w:szCs w:val="24"/>
    </w:rPr>
  </w:style>
  <w:style w:type="paragraph" w:customStyle="1" w:styleId="49">
    <w:name w:val="列出段落3"/>
    <w:basedOn w:val="1"/>
    <w:qFormat/>
    <w:uiPriority w:val="99"/>
    <w:pPr>
      <w:ind w:firstLine="420" w:firstLineChars="200"/>
    </w:pPr>
    <w:rPr>
      <w:rFonts w:cs="Times New Roman"/>
    </w:rPr>
  </w:style>
  <w:style w:type="character" w:customStyle="1" w:styleId="50">
    <w:name w:val="日期 Char"/>
    <w:basedOn w:val="23"/>
    <w:link w:val="10"/>
    <w:semiHidden/>
    <w:qFormat/>
    <w:uiPriority w:val="99"/>
    <w:rPr>
      <w:rFonts w:asciiTheme="minorHAnsi" w:hAnsiTheme="minorHAnsi" w:eastAsiaTheme="minorEastAsia" w:cstheme="minorBidi"/>
      <w:kern w:val="2"/>
      <w:sz w:val="21"/>
      <w:szCs w:val="22"/>
    </w:rPr>
  </w:style>
  <w:style w:type="character" w:customStyle="1" w:styleId="51">
    <w:name w:val="HTML 预设格式 Char"/>
    <w:basedOn w:val="23"/>
    <w:link w:val="18"/>
    <w:semiHidden/>
    <w:qFormat/>
    <w:uiPriority w:val="99"/>
    <w:rPr>
      <w:rFonts w:ascii="宋体" w:hAnsi="宋体" w:cs="宋体"/>
      <w:sz w:val="24"/>
      <w:szCs w:val="24"/>
    </w:rPr>
  </w:style>
  <w:style w:type="character" w:customStyle="1" w:styleId="52">
    <w:name w:val="description"/>
    <w:basedOn w:val="23"/>
    <w:qFormat/>
    <w:uiPriority w:val="0"/>
  </w:style>
  <w:style w:type="character" w:customStyle="1" w:styleId="53">
    <w:name w:val="批注文字 Char1"/>
    <w:qFormat/>
    <w:locked/>
    <w:uiPriority w:val="99"/>
    <w:rPr>
      <w:kern w:val="2"/>
    </w:rPr>
  </w:style>
  <w:style w:type="paragraph" w:styleId="54">
    <w:name w:val="List Paragraph"/>
    <w:basedOn w:val="1"/>
    <w:unhideWhenUsed/>
    <w:qFormat/>
    <w:uiPriority w:val="99"/>
    <w:pPr>
      <w:ind w:firstLine="420" w:firstLineChars="200"/>
    </w:pPr>
  </w:style>
  <w:style w:type="paragraph" w:customStyle="1" w:styleId="55">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8B6C1-BED4-4BB4-BB5E-5C307AB3DA8C}">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17</Pages>
  <Words>1483</Words>
  <Characters>8459</Characters>
  <Lines>70</Lines>
  <Paragraphs>19</Paragraphs>
  <TotalTime>3</TotalTime>
  <ScaleCrop>false</ScaleCrop>
  <LinksUpToDate>false</LinksUpToDate>
  <CharactersWithSpaces>9923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2018-01-03T14:12:00Z</dcterms:created>
  <dc:creator>jie bao</dc:creator>
  <cp:lastModifiedBy>hp</cp:lastModifiedBy>
  <dcterms:modified xsi:type="dcterms:W3CDTF">2021-03-23T02:24:01Z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C97DCB6FAF464E47AFB6A02B44A5FFDA</vt:lpwstr>
  </property>
</Properties>
</file>