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2021年甘肃省职业院校技能大赛</w:t>
      </w:r>
    </w:p>
    <w:p>
      <w:pPr>
        <w:pStyle w:val="6"/>
        <w:spacing w:line="360" w:lineRule="auto"/>
        <w:ind w:firstLine="0"/>
        <w:jc w:val="center"/>
        <w:rPr>
          <w:rFonts w:hint="eastAsia" w:ascii="黑体" w:hAnsi="黑体" w:eastAsia="黑体" w:cs="黑体"/>
          <w:b/>
          <w:bCs w:val="0"/>
          <w:sz w:val="48"/>
          <w:szCs w:val="48"/>
        </w:rPr>
      </w:pPr>
      <w:r>
        <w:rPr>
          <w:rFonts w:hint="eastAsia" w:ascii="黑体" w:hAnsi="黑体" w:eastAsia="黑体" w:cs="黑体"/>
          <w:b/>
          <w:bCs w:val="0"/>
          <w:sz w:val="48"/>
          <w:szCs w:val="48"/>
        </w:rPr>
        <w:t>电子产品芯片级检测维修与数据恢复</w:t>
      </w: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赛</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项</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规</w:t>
      </w:r>
    </w:p>
    <w:p>
      <w:pPr>
        <w:jc w:val="center"/>
        <w:rPr>
          <w:rFonts w:hint="eastAsia" w:ascii="黑体" w:hAnsi="黑体" w:eastAsia="黑体" w:cs="黑体"/>
          <w:b/>
          <w:bCs w:val="0"/>
          <w:sz w:val="48"/>
          <w:szCs w:val="48"/>
          <w:lang w:val="en-US" w:eastAsia="zh-CN"/>
        </w:rPr>
      </w:pPr>
      <w:r>
        <w:rPr>
          <w:rFonts w:hint="eastAsia" w:ascii="黑体" w:hAnsi="黑体" w:eastAsia="黑体" w:cs="黑体"/>
          <w:b/>
          <w:bCs w:val="0"/>
          <w:sz w:val="48"/>
          <w:szCs w:val="48"/>
          <w:lang w:val="en-US" w:eastAsia="zh-CN"/>
        </w:rPr>
        <w:t>程</w:t>
      </w: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jc w:val="center"/>
        <w:rPr>
          <w:rFonts w:hint="eastAsia" w:ascii="黑体" w:hAnsi="黑体" w:eastAsia="黑体" w:cs="黑体"/>
          <w:b/>
          <w:bCs w:val="0"/>
          <w:sz w:val="48"/>
          <w:szCs w:val="48"/>
          <w:lang w:val="en-US" w:eastAsia="zh-CN"/>
        </w:rPr>
      </w:pPr>
    </w:p>
    <w:p>
      <w:pPr>
        <w:pStyle w:val="6"/>
        <w:spacing w:line="360" w:lineRule="auto"/>
        <w:ind w:firstLine="0"/>
        <w:jc w:val="center"/>
        <w:sectPr>
          <w:footerReference r:id="rId4" w:type="first"/>
          <w:headerReference r:id="rId3" w:type="default"/>
          <w:pgSz w:w="11910" w:h="16840"/>
          <w:pgMar w:top="1440" w:right="1800" w:bottom="1440" w:left="1800" w:header="0" w:footer="1121" w:gutter="0"/>
          <w:cols w:space="720" w:num="1"/>
          <w:docGrid w:linePitch="286" w:charSpace="0"/>
        </w:sectPr>
      </w:pPr>
      <w:r>
        <w:rPr>
          <w:rFonts w:hint="eastAsia" w:ascii="黑体" w:hAnsi="黑体" w:eastAsia="黑体" w:cs="黑体"/>
          <w:sz w:val="36"/>
          <w:szCs w:val="36"/>
        </w:rPr>
        <w:t>二〇二</w:t>
      </w:r>
      <w:r>
        <w:rPr>
          <w:rFonts w:hint="eastAsia" w:ascii="黑体" w:hAnsi="黑体" w:eastAsia="黑体" w:cs="黑体"/>
          <w:sz w:val="36"/>
          <w:szCs w:val="36"/>
          <w:lang w:val="en-US" w:eastAsia="zh-CN"/>
        </w:rPr>
        <w:t>一年三</w:t>
      </w:r>
      <w:r>
        <w:rPr>
          <w:rFonts w:hint="eastAsia" w:ascii="黑体" w:hAnsi="黑体" w:eastAsia="黑体" w:cs="黑体"/>
          <w:sz w:val="36"/>
          <w:szCs w:val="36"/>
        </w:rPr>
        <w:t>月</w:t>
      </w:r>
    </w:p>
    <w:p>
      <w:pPr>
        <w:jc w:val="center"/>
        <w:rPr>
          <w:rFonts w:hint="eastAsia" w:ascii="黑体" w:hAnsi="黑体" w:eastAsia="黑体" w:cs="黑体"/>
          <w:b/>
          <w:bCs w:val="0"/>
          <w:sz w:val="48"/>
          <w:szCs w:val="48"/>
          <w:lang w:val="en-US" w:eastAsia="zh-CN"/>
        </w:rPr>
      </w:pPr>
    </w:p>
    <w:p>
      <w:pPr>
        <w:pStyle w:val="38"/>
        <w:keepNext/>
        <w:ind w:firstLine="643" w:firstLineChars="200"/>
        <w:jc w:val="both"/>
        <w:rPr>
          <w:rFonts w:hint="eastAsia"/>
          <w:b/>
          <w:bCs/>
          <w:sz w:val="32"/>
          <w:szCs w:val="32"/>
        </w:rPr>
      </w:pPr>
      <w:r>
        <w:rPr>
          <w:rFonts w:hint="eastAsia"/>
          <w:b/>
          <w:bCs/>
          <w:sz w:val="32"/>
          <w:szCs w:val="32"/>
        </w:rPr>
        <w:t>一、赛项名称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赛项名称：电子产品芯片级检测维修与数据恢复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英文名称：Electronic Products Chip-Level Diagnostics, Reparation, and Data Recovery</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赛项组别：教师组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赛项归属：电子信息大类</w:t>
      </w:r>
    </w:p>
    <w:p>
      <w:pPr>
        <w:pStyle w:val="38"/>
        <w:keepNext/>
        <w:ind w:firstLine="643" w:firstLineChars="200"/>
        <w:jc w:val="both"/>
        <w:rPr>
          <w:rFonts w:hint="eastAsia"/>
          <w:b/>
          <w:bCs/>
          <w:sz w:val="32"/>
          <w:szCs w:val="32"/>
        </w:rPr>
      </w:pPr>
      <w:r>
        <w:rPr>
          <w:rFonts w:hint="eastAsia"/>
          <w:b/>
          <w:bCs/>
          <w:sz w:val="32"/>
          <w:szCs w:val="32"/>
          <w:lang w:val="en-US" w:eastAsia="zh-CN"/>
        </w:rPr>
        <w:t>二、</w:t>
      </w:r>
      <w:bookmarkStart w:id="4" w:name="_GoBack"/>
      <w:bookmarkEnd w:id="4"/>
      <w:r>
        <w:rPr>
          <w:rFonts w:hint="eastAsia"/>
          <w:b/>
          <w:bCs/>
          <w:sz w:val="32"/>
          <w:szCs w:val="32"/>
        </w:rPr>
        <w:t>竞赛目的</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以我国电子信息产业发展的人才需求为依托，以电子产品主板芯片级检测维修及硬盘数据恢复技术为载体，将这两方面的前沿技术及技能融入比赛内容，主要检验选手在真实的工作场景下对电子产品芯片级检测维修及数据恢复的技能运用及综合职业素养表现，全面展现职业教育改进与改革的最新成果及参赛选手良好的精神风貌，引导高职教育关注在“电子产品芯片级维修与数据恢复”教育方面的发展趋势，为行业、企业培养紧缺人才，提高电子信息类高素质、高技能应用型人才的培养质量。</w:t>
      </w:r>
    </w:p>
    <w:p>
      <w:pPr>
        <w:pStyle w:val="38"/>
        <w:keepNext/>
        <w:ind w:firstLine="643" w:firstLineChars="200"/>
        <w:jc w:val="both"/>
        <w:rPr>
          <w:rFonts w:hint="eastAsia"/>
          <w:b/>
          <w:bCs/>
          <w:sz w:val="32"/>
          <w:szCs w:val="32"/>
        </w:rPr>
      </w:pPr>
      <w:r>
        <w:rPr>
          <w:rFonts w:hint="eastAsia"/>
          <w:b/>
          <w:bCs/>
          <w:sz w:val="32"/>
          <w:szCs w:val="32"/>
        </w:rPr>
        <w:t>三、竞赛内容</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（一）竞赛时间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竞赛时间为120分钟</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（二）竞赛任务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1.电路板检测与维修（赛项比重40%）</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在规定的时间内，依据赛项执委会提供的技术文件（包括原理图等），完成指定电子产品的故障检测及维修。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2.存储介质维修及数据恢复（赛项比重40%）</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对赛项执委会现场提供的存储介质（硬盘\U盘\SD卡等）进行检测维修，将介质中存储的指定文件资料恢复出来。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3.填写竞赛报告单（赛项比重15%）</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完成竞赛报告单的填写。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4.职业素养（赛项比重5%）</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根据选手操作、规范、安全等方面综合评定。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1.电工与电子技术基础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2.电子产品维修工艺与流程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3.计算机应用技能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4.电子产品的故障检测与维修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5.数据恢复技能</w:t>
      </w:r>
    </w:p>
    <w:p>
      <w:pPr>
        <w:pStyle w:val="38"/>
        <w:keepNext/>
        <w:ind w:firstLine="643" w:firstLineChars="200"/>
        <w:jc w:val="both"/>
        <w:rPr>
          <w:rFonts w:hint="eastAsia"/>
          <w:b/>
          <w:bCs/>
          <w:sz w:val="32"/>
          <w:szCs w:val="32"/>
        </w:rPr>
      </w:pPr>
      <w:r>
        <w:rPr>
          <w:rFonts w:hint="eastAsia"/>
          <w:b/>
          <w:bCs/>
          <w:sz w:val="32"/>
          <w:szCs w:val="32"/>
        </w:rPr>
        <w:t>四、竞赛方式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1.竞赛以团队方式进行，不计算选手个人成绩，统计参赛队的总成绩并进行排序。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2.每支参赛队由2名参赛选手组成，2名选手须为同校专兼职教师，其中队长1名，性别和年龄不限。</w:t>
      </w:r>
    </w:p>
    <w:p>
      <w:pPr>
        <w:pStyle w:val="38"/>
        <w:keepNext/>
        <w:ind w:firstLine="643" w:firstLineChars="200"/>
        <w:jc w:val="both"/>
        <w:rPr>
          <w:rFonts w:hint="eastAsia"/>
          <w:b/>
          <w:bCs/>
          <w:sz w:val="32"/>
          <w:szCs w:val="32"/>
        </w:rPr>
      </w:pPr>
      <w:r>
        <w:rPr>
          <w:rFonts w:hint="eastAsia"/>
          <w:b/>
          <w:bCs/>
          <w:sz w:val="32"/>
          <w:szCs w:val="32"/>
        </w:rPr>
        <w:t>五、竞赛流程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（一）竞技过程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1.竞赛开始90分钟前，参赛队选手到赛场指定地点抽取赛位号，接受检录，进入指定赛位，但不可进行任何操作。赛位号由加密裁判经两次加密处理后封存保管于指定场所。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裁判长发布“竞赛开始”的指令后，选手可自行决定工作程序，使用现场配套的设备及工具，开始竞赛操作，完成规定的工作任务；在比赛开始后30分钟内，选手如发现仪器设备及工具不能正常使用可提出申请更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3.竞赛开始后，裁判长将随机生成数据恢复指定文件，并打印下发给参赛选手。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4.在裁判长发布“竞赛结束”的指令后，选手必须停止一切竞赛操作。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5.竞赛结束后，根据现场裁判的指示进行电路板卡维修结果上传及电子版竞赛报告单上传，完成竞赛结果提交及确认。</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7.竞赛结果提交完成后，按照现场裁判的安排有序离开比赛现场。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（二）日程安排</w:t>
      </w:r>
    </w:p>
    <w:tbl>
      <w:tblPr>
        <w:tblStyle w:val="16"/>
        <w:tblW w:w="7949" w:type="dxa"/>
        <w:jc w:val="center"/>
        <w:tblLayout w:type="fixed"/>
        <w:tblCellMar>
          <w:top w:w="0" w:type="dxa"/>
          <w:left w:w="108" w:type="dxa"/>
          <w:bottom w:w="0" w:type="dxa"/>
          <w:right w:w="108" w:type="dxa"/>
        </w:tblCellMar>
      </w:tblPr>
      <w:tblGrid>
        <w:gridCol w:w="1277"/>
        <w:gridCol w:w="4916"/>
        <w:gridCol w:w="1756"/>
      </w:tblGrid>
      <w:tr>
        <w:tblPrEx>
          <w:tblCellMar>
            <w:top w:w="0" w:type="dxa"/>
            <w:left w:w="108" w:type="dxa"/>
            <w:bottom w:w="0" w:type="dxa"/>
            <w:right w:w="108" w:type="dxa"/>
          </w:tblCellMar>
        </w:tblPrEx>
        <w:trPr>
          <w:trHeight w:val="20"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b/>
                <w:bCs/>
                <w:color w:val="000000"/>
                <w:sz w:val="24"/>
              </w:rPr>
            </w:pPr>
            <w:r>
              <w:rPr>
                <w:rFonts w:hint="eastAsia" w:ascii="仿宋_GB2312" w:hAnsi="仿宋" w:eastAsia="仿宋_GB2312" w:cs="仿宋"/>
                <w:b/>
                <w:bCs/>
                <w:color w:val="000000"/>
                <w:sz w:val="24"/>
              </w:rPr>
              <w:t>日期</w:t>
            </w:r>
          </w:p>
        </w:tc>
        <w:tc>
          <w:tcPr>
            <w:tcW w:w="4916"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s="仿宋"/>
                <w:b/>
                <w:bCs/>
                <w:color w:val="000000"/>
                <w:sz w:val="24"/>
              </w:rPr>
            </w:pPr>
            <w:r>
              <w:rPr>
                <w:rFonts w:hint="eastAsia" w:ascii="仿宋_GB2312" w:hAnsi="仿宋" w:eastAsia="仿宋_GB2312" w:cs="仿宋"/>
                <w:b/>
                <w:bCs/>
                <w:color w:val="000000"/>
                <w:sz w:val="24"/>
              </w:rPr>
              <w:t>事项安排</w:t>
            </w:r>
          </w:p>
        </w:tc>
        <w:tc>
          <w:tcPr>
            <w:tcW w:w="1756" w:type="dxa"/>
            <w:tcBorders>
              <w:top w:val="single" w:color="auto" w:sz="4" w:space="0"/>
              <w:left w:val="nil"/>
              <w:bottom w:val="single" w:color="auto" w:sz="4" w:space="0"/>
              <w:right w:val="single" w:color="auto" w:sz="4" w:space="0"/>
            </w:tcBorders>
          </w:tcPr>
          <w:p>
            <w:pPr>
              <w:jc w:val="center"/>
              <w:rPr>
                <w:rFonts w:ascii="仿宋_GB2312" w:hAnsi="仿宋" w:eastAsia="仿宋_GB2312" w:cs="仿宋"/>
                <w:b/>
                <w:bCs/>
                <w:color w:val="000000"/>
                <w:sz w:val="24"/>
              </w:rPr>
            </w:pPr>
            <w:r>
              <w:rPr>
                <w:rFonts w:hint="eastAsia" w:ascii="仿宋_GB2312" w:hAnsi="仿宋" w:eastAsia="仿宋_GB2312" w:cs="仿宋"/>
                <w:b/>
                <w:bCs/>
                <w:color w:val="000000"/>
                <w:sz w:val="24"/>
              </w:rPr>
              <w:t>时间</w:t>
            </w:r>
          </w:p>
        </w:tc>
      </w:tr>
      <w:tr>
        <w:tblPrEx>
          <w:tblCellMar>
            <w:top w:w="0" w:type="dxa"/>
            <w:left w:w="108" w:type="dxa"/>
            <w:bottom w:w="0" w:type="dxa"/>
            <w:right w:w="108" w:type="dxa"/>
          </w:tblCellMar>
        </w:tblPrEx>
        <w:trPr>
          <w:trHeight w:val="20" w:hRule="atLeast"/>
          <w:jc w:val="center"/>
        </w:trPr>
        <w:tc>
          <w:tcPr>
            <w:tcW w:w="1277" w:type="dxa"/>
            <w:vMerge w:val="restart"/>
            <w:tcBorders>
              <w:top w:val="single" w:color="auto" w:sz="4" w:space="0"/>
              <w:left w:val="single" w:color="auto" w:sz="4" w:space="0"/>
              <w:right w:val="single" w:color="auto" w:sz="4" w:space="0"/>
            </w:tcBorders>
            <w:vAlign w:val="center"/>
          </w:tcPr>
          <w:p>
            <w:pPr>
              <w:jc w:val="center"/>
              <w:rPr>
                <w:rFonts w:ascii="仿宋_GB2312" w:hAnsi="仿宋" w:eastAsia="仿宋_GB2312" w:cs="仿宋"/>
                <w:bCs/>
                <w:color w:val="000000"/>
                <w:sz w:val="24"/>
              </w:rPr>
            </w:pPr>
            <w:r>
              <w:rPr>
                <w:rFonts w:hint="eastAsia" w:ascii="仿宋_GB2312" w:hAnsi="仿宋" w:eastAsia="仿宋_GB2312" w:cs="仿宋"/>
                <w:bCs/>
                <w:color w:val="000000"/>
                <w:sz w:val="24"/>
              </w:rPr>
              <w:t>第一天</w:t>
            </w: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bCs/>
                <w:color w:val="000000"/>
                <w:sz w:val="24"/>
              </w:rPr>
            </w:pPr>
            <w:r>
              <w:rPr>
                <w:rFonts w:hint="eastAsia" w:ascii="仿宋_GB2312" w:hAnsi="仿宋" w:eastAsia="仿宋_GB2312" w:cs="仿宋"/>
                <w:bCs/>
                <w:color w:val="000000"/>
                <w:sz w:val="24"/>
              </w:rPr>
              <w:t>参赛队报到注册</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bCs/>
                <w:color w:val="000000"/>
                <w:sz w:val="24"/>
              </w:rPr>
            </w:pPr>
            <w:r>
              <w:rPr>
                <w:rFonts w:hint="eastAsia" w:ascii="仿宋_GB2312" w:hAnsi="仿宋" w:eastAsia="仿宋_GB2312" w:cs="仿宋"/>
                <w:bCs/>
                <w:color w:val="000000"/>
                <w:sz w:val="24"/>
              </w:rPr>
              <w:t>——</w:t>
            </w:r>
          </w:p>
        </w:tc>
      </w:tr>
      <w:tr>
        <w:tblPrEx>
          <w:tblCellMar>
            <w:top w:w="0" w:type="dxa"/>
            <w:left w:w="108" w:type="dxa"/>
            <w:bottom w:w="0" w:type="dxa"/>
            <w:right w:w="108" w:type="dxa"/>
          </w:tblCellMar>
        </w:tblPrEx>
        <w:trPr>
          <w:trHeight w:val="20" w:hRule="atLeast"/>
          <w:jc w:val="center"/>
        </w:trPr>
        <w:tc>
          <w:tcPr>
            <w:tcW w:w="1277" w:type="dxa"/>
            <w:vMerge w:val="continue"/>
            <w:tcBorders>
              <w:left w:val="single" w:color="auto" w:sz="4" w:space="0"/>
              <w:right w:val="single" w:color="auto" w:sz="4" w:space="0"/>
            </w:tcBorders>
            <w:vAlign w:val="center"/>
          </w:tcPr>
          <w:p>
            <w:pPr>
              <w:jc w:val="center"/>
              <w:rPr>
                <w:rFonts w:ascii="仿宋_GB2312" w:hAnsi="仿宋" w:eastAsia="仿宋_GB2312" w:cs="仿宋"/>
                <w:b/>
                <w:bCs/>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bCs/>
                <w:color w:val="000000"/>
                <w:sz w:val="24"/>
              </w:rPr>
            </w:pPr>
            <w:r>
              <w:rPr>
                <w:rFonts w:hint="eastAsia" w:ascii="仿宋_GB2312" w:hAnsi="仿宋" w:eastAsia="仿宋_GB2312" w:cs="仿宋"/>
                <w:bCs/>
                <w:color w:val="000000"/>
                <w:sz w:val="24"/>
              </w:rPr>
              <w:t>赛前说明会</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bCs/>
                <w:color w:val="000000"/>
                <w:sz w:val="24"/>
              </w:rPr>
            </w:pPr>
            <w:r>
              <w:rPr>
                <w:rFonts w:hint="eastAsia" w:ascii="仿宋_GB2312" w:hAnsi="仿宋" w:eastAsia="仿宋_GB2312" w:cs="仿宋"/>
                <w:bCs/>
                <w:color w:val="000000"/>
                <w:sz w:val="24"/>
              </w:rPr>
              <w:t>15:00-16:00</w:t>
            </w:r>
          </w:p>
        </w:tc>
      </w:tr>
      <w:tr>
        <w:tblPrEx>
          <w:tblCellMar>
            <w:top w:w="0" w:type="dxa"/>
            <w:left w:w="108" w:type="dxa"/>
            <w:bottom w:w="0" w:type="dxa"/>
            <w:right w:w="108" w:type="dxa"/>
          </w:tblCellMar>
        </w:tblPrEx>
        <w:trPr>
          <w:trHeight w:val="20" w:hRule="atLeast"/>
          <w:jc w:val="center"/>
        </w:trPr>
        <w:tc>
          <w:tcPr>
            <w:tcW w:w="1277" w:type="dxa"/>
            <w:vMerge w:val="continue"/>
            <w:tcBorders>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nil"/>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熟悉赛场</w:t>
            </w:r>
          </w:p>
        </w:tc>
        <w:tc>
          <w:tcPr>
            <w:tcW w:w="1756" w:type="dxa"/>
            <w:tcBorders>
              <w:top w:val="nil"/>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16:00-16:30</w:t>
            </w:r>
          </w:p>
        </w:tc>
      </w:tr>
      <w:tr>
        <w:tblPrEx>
          <w:tblCellMar>
            <w:top w:w="0" w:type="dxa"/>
            <w:left w:w="108" w:type="dxa"/>
            <w:bottom w:w="0" w:type="dxa"/>
            <w:right w:w="108" w:type="dxa"/>
          </w:tblCellMar>
        </w:tblPrEx>
        <w:trPr>
          <w:trHeight w:val="20"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 w:eastAsia="仿宋_GB2312" w:cs="仿宋"/>
                <w:color w:val="000000"/>
                <w:sz w:val="24"/>
              </w:rPr>
            </w:pPr>
            <w:r>
              <w:rPr>
                <w:rFonts w:hint="eastAsia" w:ascii="仿宋_GB2312" w:hAnsi="仿宋" w:eastAsia="仿宋_GB2312" w:cs="仿宋"/>
                <w:color w:val="000000"/>
                <w:sz w:val="24"/>
              </w:rPr>
              <w:t>第二天</w:t>
            </w: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选手到场</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7:30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检录、两次加密及入场</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7:30-9:00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比赛时间</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9:00-11:00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提交竞赛结果并离场</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 xml:space="preserve">11:00- </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赛项申诉与仲裁</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11:30-13:30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裁判评分，成绩复核确认，解密并录入上报</w:t>
            </w:r>
          </w:p>
        </w:tc>
        <w:tc>
          <w:tcPr>
            <w:tcW w:w="1756" w:type="dxa"/>
            <w:tcBorders>
              <w:top w:val="single" w:color="auto" w:sz="4" w:space="0"/>
              <w:left w:val="nil"/>
              <w:bottom w:val="single" w:color="auto" w:sz="4" w:space="0"/>
              <w:right w:val="single" w:color="auto" w:sz="4" w:space="0"/>
            </w:tcBorders>
          </w:tcPr>
          <w:p>
            <w:pPr>
              <w:rPr>
                <w:rFonts w:ascii="仿宋_GB2312" w:hAnsi="仿宋" w:eastAsia="仿宋_GB2312" w:cs="仿宋"/>
                <w:color w:val="000000"/>
                <w:sz w:val="24"/>
              </w:rPr>
            </w:pPr>
            <w:r>
              <w:rPr>
                <w:rFonts w:hint="eastAsia" w:ascii="仿宋_GB2312" w:hAnsi="仿宋" w:eastAsia="仿宋_GB2312" w:cs="仿宋"/>
                <w:color w:val="000000"/>
                <w:sz w:val="24"/>
              </w:rPr>
              <w:t>11:30-</w:t>
            </w:r>
          </w:p>
        </w:tc>
      </w:tr>
      <w:tr>
        <w:tblPrEx>
          <w:tblCellMar>
            <w:top w:w="0" w:type="dxa"/>
            <w:left w:w="108" w:type="dxa"/>
            <w:bottom w:w="0" w:type="dxa"/>
            <w:right w:w="108" w:type="dxa"/>
          </w:tblCellMar>
        </w:tblPrEx>
        <w:trPr>
          <w:trHeight w:val="2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s="仿宋"/>
                <w:color w:val="000000"/>
                <w:sz w:val="24"/>
              </w:rPr>
            </w:pPr>
          </w:p>
        </w:tc>
        <w:tc>
          <w:tcPr>
            <w:tcW w:w="4916" w:type="dxa"/>
            <w:tcBorders>
              <w:top w:val="single" w:color="auto" w:sz="4" w:space="0"/>
              <w:left w:val="nil"/>
              <w:bottom w:val="single" w:color="auto" w:sz="4" w:space="0"/>
              <w:right w:val="single" w:color="auto" w:sz="4" w:space="0"/>
            </w:tcBorders>
            <w:vAlign w:val="center"/>
          </w:tcPr>
          <w:p>
            <w:pPr>
              <w:rPr>
                <w:rFonts w:ascii="仿宋_GB2312" w:hAnsi="仿宋" w:eastAsia="仿宋_GB2312" w:cs="仿宋"/>
                <w:color w:val="000000"/>
                <w:sz w:val="24"/>
              </w:rPr>
            </w:pPr>
            <w:r>
              <w:rPr>
                <w:rFonts w:hint="eastAsia" w:ascii="仿宋_GB2312" w:hAnsi="仿宋" w:eastAsia="仿宋_GB2312" w:cs="仿宋"/>
                <w:color w:val="000000"/>
                <w:sz w:val="24"/>
              </w:rPr>
              <w:t>成绩公布</w:t>
            </w:r>
          </w:p>
        </w:tc>
        <w:tc>
          <w:tcPr>
            <w:tcW w:w="1756" w:type="dxa"/>
            <w:tcBorders>
              <w:top w:val="single" w:color="auto" w:sz="4" w:space="0"/>
              <w:left w:val="nil"/>
              <w:bottom w:val="single" w:color="auto" w:sz="4" w:space="0"/>
              <w:right w:val="single" w:color="auto" w:sz="4" w:space="0"/>
            </w:tcBorders>
          </w:tcPr>
          <w:p>
            <w:pPr>
              <w:rPr>
                <w:rFonts w:hint="eastAsia" w:ascii="仿宋_GB2312" w:hAnsi="仿宋" w:eastAsia="仿宋_GB2312" w:cs="仿宋"/>
                <w:color w:val="000000"/>
                <w:sz w:val="24"/>
              </w:rPr>
            </w:pPr>
            <w:r>
              <w:rPr>
                <w:rFonts w:hint="eastAsia" w:ascii="仿宋_GB2312" w:hAnsi="仿宋" w:eastAsia="仿宋_GB2312" w:cs="仿宋"/>
                <w:color w:val="000000"/>
                <w:sz w:val="24"/>
              </w:rPr>
              <w:t>1</w:t>
            </w:r>
            <w:r>
              <w:rPr>
                <w:rFonts w:ascii="仿宋_GB2312" w:hAnsi="仿宋" w:eastAsia="仿宋_GB2312" w:cs="仿宋"/>
                <w:color w:val="000000"/>
                <w:sz w:val="24"/>
              </w:rPr>
              <w:t>6</w:t>
            </w:r>
            <w:r>
              <w:rPr>
                <w:rFonts w:hint="eastAsia" w:ascii="仿宋_GB2312" w:hAnsi="仿宋" w:eastAsia="仿宋_GB2312" w:cs="仿宋"/>
                <w:color w:val="000000"/>
                <w:sz w:val="24"/>
              </w:rPr>
              <w:t>:</w:t>
            </w:r>
            <w:r>
              <w:rPr>
                <w:rFonts w:ascii="仿宋_GB2312" w:hAnsi="仿宋" w:eastAsia="仿宋_GB2312" w:cs="仿宋"/>
                <w:color w:val="000000"/>
                <w:sz w:val="24"/>
              </w:rPr>
              <w:t>00</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（三）竞赛流程图</w:t>
      </w:r>
    </w:p>
    <w:p>
      <w:pPr>
        <w:spacing w:line="360" w:lineRule="auto"/>
        <w:ind w:firstLine="200"/>
        <w:rPr>
          <w:rFonts w:ascii="黑体" w:hAnsi="黑体" w:eastAsia="仿宋_GB2312" w:cs="黑体"/>
          <w:bCs/>
          <w:sz w:val="30"/>
          <w:szCs w:val="30"/>
        </w:rPr>
      </w:pPr>
      <w:r>
        <w:rPr>
          <w:rFonts w:hint="eastAsia" w:ascii="仿宋_GB2312" w:hAnsi="仿宋" w:eastAsia="仿宋_GB2312"/>
          <w:color w:val="000000"/>
        </w:rPr>
        <w:t xml:space="preserve">  </w:t>
      </w:r>
      <w:r>
        <w:pict>
          <v:group id="组合 35" o:spid="_x0000_s1332" o:spt="203" style="height:548pt;width:330.85pt;" coordorigin="9041,1856" coordsize="6617,10960">
            <o:lock v:ext="edit"/>
            <v:shape id="下箭头 32" o:spid="_x0000_s1304" o:spt="67" type="#_x0000_t67" style="position:absolute;left:11902;top:8793;height:1683;width:182;rotation:5898240f;" coordsize="21600,21600" o:gfxdata="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Pt1+8AAAA&#10;2wAAAA8AAAAAAAAAAQAgAAAAIgAAAGRycy9kb3ducmV2LnhtbFBLAQIUABQAAAAIAIdO4kAzLwWe&#10;OwAAADkAAAAQAAAAAAAAAAEAIAAAAAsBAABkcnMvc2hhcGV4bWwueG1sUEsFBgAAAAAGAAYAWwEA&#10;ALUDAAAAAA==&#10;" adj="20070">
              <v:path/>
              <v:fill focussize="0,0"/>
              <v:stroke miterlimit="2"/>
              <v:imagedata o:title=""/>
              <o:lock v:ext="edit"/>
              <v:textbox style="layout-flow:vertical-ideographic;"/>
            </v:shape>
            <v:shape id="流程图: 可选过程 2" o:spid="_x0000_s1305" o:spt="176" type="#_x0000_t176" style="position:absolute;left:9041;top:1856;height:852;width:1719;" coordsize="21600,21600" o:gfxdata="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4oBWL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参赛队注册</w:t>
                    </w:r>
                  </w:p>
                </w:txbxContent>
              </v:textbox>
            </v:shape>
            <v:shape id="流程图: 可选过程 3" o:spid="_x0000_s1306" o:spt="176" type="#_x0000_t176" style="position:absolute;left:11582;top:1856;height:970;width:1685;" coordsize="21600,21600" o:gfxdata="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akw7sAAADa&#10;AAAADwAAAAAAAAABACAAAAAiAAAAZHJzL2Rvd25yZXYueG1sUEsBAhQAFAAAAAgAh07iQDMvBZ47&#10;AAAAOQAAABAAAAAAAAAAAQAgAAAACgEAAGRycy9zaGFwZXhtbC54bWxQSwUGAAAAAAYABgBbAQAA&#10;tA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赛前说明会</w:t>
                    </w:r>
                  </w:p>
                </w:txbxContent>
              </v:textbox>
            </v:shape>
            <v:shape id="流程图: 可选过程 4" o:spid="_x0000_s1307" o:spt="176" type="#_x0000_t176" style="position:absolute;left:13934;top:1856;height:970;width:1684;" coordsize="21600,21600" o:gfxdata="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88t7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熟悉赛场</w:t>
                    </w:r>
                  </w:p>
                </w:txbxContent>
              </v:textbox>
            </v:shape>
            <v:shape id="流程图: 可选过程 5" o:spid="_x0000_s1308" o:spt="176" type="#_x0000_t176" style="position:absolute;left:13974;top:3276;height:971;width:1684;" coordsize="21600,21600" o:gfxdata="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Y5ksvQAA&#10;ANoAAAAPAAAAAAAAAAEAIAAAACIAAABkcnMvZG93bnJldi54bWxQSwECFAAUAAAACACHTuJAMy8F&#10;njsAAAA5AAAAEAAAAAAAAAABACAAAAAMAQAAZHJzL3NoYXBleG1sLnhtbFBLBQYAAAAABgAGAFsB&#10;AAC2AwAAAAA=&#10;">
              <v:path/>
              <v:fill focussize="0,0"/>
              <v:stroke miterlimit="2"/>
              <v:imagedata o:title=""/>
              <o:lock v:ext="edit"/>
              <v:textbox>
                <w:txbxContent>
                  <w:p>
                    <w:pPr>
                      <w:jc w:val="center"/>
                      <w:rPr>
                        <w:rFonts w:ascii="仿宋_GB2312" w:eastAsia="仿宋_GB2312"/>
                        <w:szCs w:val="21"/>
                      </w:rPr>
                    </w:pPr>
                    <w:r>
                      <w:rPr>
                        <w:rFonts w:hint="eastAsia" w:ascii="仿宋" w:hAnsi="仿宋" w:eastAsia="仿宋_GB2312" w:cs="仿宋"/>
                        <w:color w:val="000000"/>
                        <w:sz w:val="24"/>
                      </w:rPr>
                      <w:t>检录、两次加密及入场</w:t>
                    </w:r>
                  </w:p>
                </w:txbxContent>
              </v:textbox>
            </v:shape>
            <v:shape id="流程图: 可选过程 7" o:spid="_x0000_s1309" o:spt="176" type="#_x0000_t176" style="position:absolute;left:11467;top:3246;height:971;width:1943;" coordsize="21600,21600" o:gfxdata="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iwL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宣布比赛开始</w:t>
                    </w:r>
                  </w:p>
                </w:txbxContent>
              </v:textbox>
            </v:shape>
            <v:shape id="流程图: 可选过程 8" o:spid="_x0000_s1310" o:spt="176" type="#_x0000_t176" style="position:absolute;left:11487;top:4661;height:971;width:1943;" coordsize="21600,21600" o:gfxdata="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YjayugAAANoA&#10;AAAPAAAAAAAAAAEAIAAAACIAAABkcnMvZG93bnJldi54bWxQSwECFAAUAAAACACHTuJAMy8FnjsA&#10;AAA5AAAAEAAAAAAAAAABACAAAAAJAQAAZHJzL3NoYXBleG1sLnhtbFBLBQYAAAAABgAGAFsBAACz&#10;Aw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比赛操作</w:t>
                    </w:r>
                  </w:p>
                </w:txbxContent>
              </v:textbox>
            </v:shape>
            <v:shape id="流程图: 可选过程 9" o:spid="_x0000_s1311" o:spt="176" type="#_x0000_t176" style="position:absolute;left:11419;top:6065;height:1080;width:2168;" coordsize="21600,21600" o:gfxdata="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6TKb4A&#10;AADa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宣布比赛结束</w:t>
                    </w:r>
                  </w:p>
                  <w:p>
                    <w:pPr>
                      <w:jc w:val="center"/>
                      <w:rPr>
                        <w:rFonts w:ascii="仿宋" w:hAnsi="仿宋" w:eastAsia="仿宋_GB2312" w:cs="仿宋"/>
                        <w:color w:val="000000"/>
                        <w:sz w:val="24"/>
                      </w:rPr>
                    </w:pPr>
                    <w:r>
                      <w:rPr>
                        <w:rFonts w:hint="eastAsia" w:ascii="仿宋" w:hAnsi="仿宋" w:eastAsia="仿宋_GB2312" w:cs="仿宋"/>
                        <w:color w:val="000000"/>
                        <w:sz w:val="24"/>
                      </w:rPr>
                      <w:t>，并提交结果</w:t>
                    </w:r>
                  </w:p>
                </w:txbxContent>
              </v:textbox>
            </v:shape>
            <v:shape id="流程图: 可选过程 10" o:spid="_x0000_s1312" o:spt="176" type="#_x0000_t176" style="position:absolute;left:9380;top:7867;height:971;width:1320;" coordsize="21600,21600" o:gfxdata="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30Qw74A&#10;AADbAAAADwAAAAAAAAABACAAAAAiAAAAZHJzL2Rvd25yZXYueG1sUEsBAhQAFAAAAAgAh07iQDMv&#10;BZ47AAAAOQAAABAAAAAAAAAAAQAgAAAADQEAAGRycy9zaGFwZXhtbC54bWxQSwUGAAAAAAYABgBb&#10;AQAAtwM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评分</w:t>
                    </w:r>
                  </w:p>
                </w:txbxContent>
              </v:textbox>
            </v:shape>
            <v:shape id="流程图: 可选过程 11" o:spid="_x0000_s1313" o:spt="176" type="#_x0000_t176" style="position:absolute;left:9068;top:9187;height:970;width:2013;" coordsize="21600,21600" o:gfxdata="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xtVi/&#10;AAAA2wAAAA8AAAAAAAAAAQAgAAAAIgAAAGRycy9kb3ducmV2LnhtbFBLAQIUABQAAAAIAIdO4kAz&#10;LwWeOwAAADkAAAAQAAAAAAAAAAEAIAAAAA4BAABkcnMvc2hhcGV4bWwueG1sUEsFBgAAAAAGAAYA&#10;WwEAALgDA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成绩复核确认</w:t>
                    </w:r>
                  </w:p>
                </w:txbxContent>
              </v:textbox>
            </v:shape>
            <v:shape id="流程图: 可选过程 12" o:spid="_x0000_s1314" o:spt="176" type="#_x0000_t176" style="position:absolute;left:9055;top:10563;height:970;width:2011;" coordsize="21600,21600" o:gfxdata="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4ysvvQAA&#10;ANsAAAAPAAAAAAAAAAEAIAAAACIAAABkcnMvZG93bnJldi54bWxQSwECFAAUAAAACACHTuJAMy8F&#10;njsAAAA5AAAAEAAAAAAAAAABACAAAAAMAQAAZHJzL3NoYXBleG1sLnhtbFBLBQYAAAAABgAGAFsB&#10;AAC2Aw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解密并录入上报</w:t>
                    </w:r>
                  </w:p>
                </w:txbxContent>
              </v:textbox>
            </v:shape>
            <v:shape id="流程图: 可选过程 13" o:spid="_x0000_s1315" o:spt="176" type="#_x0000_t176" style="position:absolute;left:9041;top:11846;height:971;width:2087;" coordsize="21600,21600" o:gfxdata="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r460vQAA&#10;ANsAAAAPAAAAAAAAAAEAIAAAACIAAABkcnMvZG93bnJldi54bWxQSwECFAAUAAAACACHTuJAMy8F&#10;njsAAAA5AAAAEAAAAAAAAAABACAAAAAMAQAAZHJzL3NoYXBleG1sLnhtbFBLBQYAAAAABgAGAFsB&#10;AAC2Aw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成绩公布</w:t>
                    </w:r>
                  </w:p>
                  <w:p>
                    <w:pPr>
                      <w:jc w:val="center"/>
                      <w:rPr>
                        <w:rFonts w:ascii="仿宋" w:hAnsi="仿宋" w:eastAsia="仿宋_GB2312" w:cs="仿宋"/>
                        <w:color w:val="000000"/>
                        <w:sz w:val="24"/>
                      </w:rPr>
                    </w:pPr>
                    <w:r>
                      <w:rPr>
                        <w:rFonts w:hint="eastAsia" w:ascii="仿宋" w:hAnsi="仿宋" w:eastAsia="仿宋_GB2312" w:cs="仿宋"/>
                        <w:color w:val="000000"/>
                        <w:sz w:val="24"/>
                      </w:rPr>
                      <w:t>闭赛式</w:t>
                    </w:r>
                  </w:p>
                </w:txbxContent>
              </v:textbox>
            </v:shape>
            <v:shape id="流程图: 可选过程 14" o:spid="_x0000_s1316" o:spt="176" type="#_x0000_t176" style="position:absolute;left:13329;top:7798;height:971;width:1518;" coordsize="21600,21600" o:gfxdata="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GFsC/&#10;AAAA2wAAAA8AAAAAAAAAAQAgAAAAIgAAAGRycy9kb3ducmV2LnhtbFBLAQIUABQAAAAIAIdO4kAz&#10;LwWeOwAAADkAAAAQAAAAAAAAAAEAIAAAAA4BAABkcnMvc2hhcGV4bWwueG1sUEsFBgAAAAAGAAYA&#10;WwEAALgDA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仲裁申请</w:t>
                    </w:r>
                  </w:p>
                </w:txbxContent>
              </v:textbox>
            </v:shape>
            <v:shape id="流程图: 可选过程 15" o:spid="_x0000_s1317" o:spt="176" type="#_x0000_t176" style="position:absolute;left:12951;top:9119;height:970;width:2565;" coordsize="21600,21600" o:gfxdata="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Ks1u/&#10;AAAA2wAAAA8AAAAAAAAAAQAgAAAAIgAAAGRycy9kb3ducmV2LnhtbFBLAQIUABQAAAAIAIdO4kAz&#10;LwWeOwAAADkAAAAQAAAAAAAAAAEAIAAAAA4BAABkcnMvc2hhcGV4bWwueG1sUEsFBgAAAAAGAAYA&#10;WwEAALgDAAAAAA==&#10;">
              <v:path/>
              <v:fill focussize="0,0"/>
              <v:stroke miterlimit="2"/>
              <v:imagedata o:title=""/>
              <o:lock v:ext="edit"/>
              <v:textbox>
                <w:txbxContent>
                  <w:p>
                    <w:pPr>
                      <w:jc w:val="center"/>
                      <w:rPr>
                        <w:rFonts w:ascii="仿宋" w:hAnsi="仿宋" w:eastAsia="仿宋_GB2312" w:cs="仿宋"/>
                        <w:color w:val="000000"/>
                        <w:sz w:val="24"/>
                      </w:rPr>
                    </w:pPr>
                    <w:r>
                      <w:rPr>
                        <w:rFonts w:hint="eastAsia" w:ascii="仿宋" w:hAnsi="仿宋" w:eastAsia="仿宋_GB2312" w:cs="仿宋"/>
                        <w:color w:val="000000"/>
                        <w:sz w:val="24"/>
                      </w:rPr>
                      <w:t>赛项仲裁委复议回复</w:t>
                    </w:r>
                  </w:p>
                </w:txbxContent>
              </v:textbox>
            </v:shape>
            <v:shape id="右箭头 16" o:spid="_x0000_s1318" o:spt="13" type="#_x0000_t13" style="position:absolute;left:10928;top:2233;height:210;width:653;" coordsize="21600,21600" o:gfxdata="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HuQC5AAAA2wAA&#10;AA8AAAAAAAAAAQAgAAAAIgAAAGRycy9kb3ducmV2LnhtbFBLAQIUABQAAAAIAIdO4kAzLwWeOwAA&#10;ADkAAAAQAAAAAAAAAAEAIAAAAAgBAABkcnMvc2hhcGV4bWwueG1sUEsFBgAAAAAGAAYAWwEAALID&#10;AAAAAA==&#10;" adj="14654">
              <v:path/>
              <v:fill focussize="0,0"/>
              <v:stroke miterlimit="2"/>
              <v:imagedata o:title=""/>
              <o:lock v:ext="edit"/>
            </v:shape>
            <v:shape id="右箭头 17" o:spid="_x0000_s1319" o:spt="13" type="#_x0000_t13" style="position:absolute;left:13280;top:2233;height:210;width:653;" coordsize="21600,21600" o:gfxdata="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scm7sAAADb&#10;AAAADwAAAAAAAAABACAAAAAiAAAAZHJzL2Rvd25yZXYueG1sUEsBAhQAFAAAAAgAh07iQDMvBZ47&#10;AAAAOQAAABAAAAAAAAAAAQAgAAAACgEAAGRycy9zaGFwZXhtbC54bWxQSwUGAAAAAAYABgBbAQAA&#10;tAMAAAAA&#10;" adj="14654">
              <v:path/>
              <v:fill focussize="0,0"/>
              <v:stroke miterlimit="2"/>
              <v:imagedata o:title=""/>
              <o:lock v:ext="edit"/>
            </v:shape>
            <v:shape id="右箭头 18" o:spid="_x0000_s1320" o:spt="13" type="#_x0000_t13" style="position:absolute;left:13457;top:3596;height:210;width:463;rotation:11796480f;" coordsize="21600,21600" o:gfxdata="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YUIfvQAA&#10;ANsAAAAPAAAAAAAAAAEAIAAAACIAAABkcnMvZG93bnJldi54bWxQSwECFAAUAAAACACHTuJAMy8F&#10;njsAAAA5AAAAEAAAAAAAAAABACAAAAAMAQAAZHJzL3NoYXBleG1sLnhtbFBLBQYAAAAABgAGAFsB&#10;AAC2AwAAAAA=&#10;" adj="11804">
              <v:path/>
              <v:fill focussize="0,0"/>
              <v:stroke miterlimit="2"/>
              <v:imagedata o:title=""/>
              <o:lock v:ext="edit"/>
            </v:shape>
            <v:shape id="下箭头 21" o:spid="_x0000_s1321" o:spt="67" type="#_x0000_t67" style="position:absolute;left:14675;top:2823;height:454;width:198;" coordsize="21600,21600" o:gfxdata="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c+wi/&#10;AAAA2wAAAA8AAAAAAAAAAQAgAAAAIgAAAGRycy9kb3ducmV2LnhtbFBLAQIUABQAAAAIAIdO4kAz&#10;LwWeOwAAADkAAAAQAAAAAAAAAAEAIAAAAA4BAABkcnMvc2hhcGV4bWwueG1sUEsFBgAAAAAGAAYA&#10;WwEAALgDAAAAAA==&#10;" adj="15651">
              <v:path/>
              <v:fill focussize="0,0"/>
              <v:stroke miterlimit="2"/>
              <v:imagedata o:title=""/>
              <o:lock v:ext="edit"/>
              <v:textbox style="layout-flow:vertical-ideographic;"/>
            </v:shape>
            <v:shape id="下箭头 22" o:spid="_x0000_s1322" o:spt="67" type="#_x0000_t67" style="position:absolute;left:12387;top:4221;height:413;width:199;" coordsize="21600,21600" o:gfxdata="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q04i8AAAA&#10;2wAAAA8AAAAAAAAAAQAgAAAAIgAAAGRycy9kb3ducmV2LnhtbFBLAQIUABQAAAAIAIdO4kAzLwWe&#10;OwAAADkAAAAQAAAAAAAAAAEAIAAAAAsBAABkcnMvc2hhcGV4bWwueG1sUEsFBgAAAAAGAAYAWwEA&#10;ALUDAAAAAA==&#10;" adj="15065">
              <v:path/>
              <v:fill focussize="0,0"/>
              <v:stroke miterlimit="2"/>
              <v:imagedata o:title=""/>
              <o:lock v:ext="edit"/>
              <v:textbox style="layout-flow:vertical-ideographic;"/>
            </v:shape>
            <v:shape id="直接箭头连接符 23" o:spid="_x0000_s1323" o:spt="32" type="#_x0000_t32" style="position:absolute;left:10090;top:7457;height:1;width:4031;" filled="t" coordsize="21600,21600" o:gfxdata="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nYWvvQAA&#10;ANsAAAAPAAAAAAAAAAEAIAAAACIAAABkcnMvZG93bnJldi54bWxQSwECFAAUAAAACACHTuJAMy8F&#10;njsAAAA5AAAAEAAAAAAAAAABACAAAAAMAQAAZHJzL3NoYXBleG1sLnhtbFBLBQYAAAAABgAGAFsB&#10;AAC2AwAAAAA=&#10;">
              <v:path arrowok="t"/>
              <v:fill on="t" focussize="0,0"/>
              <v:stroke miterlimit="2" joinstyle="miter"/>
              <v:imagedata o:title=""/>
              <o:lock v:ext="edit"/>
            </v:shape>
            <v:shape id="下箭头 24" o:spid="_x0000_s1324" o:spt="67" type="#_x0000_t67" style="position:absolute;left:12452;top:7151;height:334;width:245;" coordsize="21600,21600" o:gfxdata="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SBWW/&#10;AAAA2wAAAA8AAAAAAAAAAQAgAAAAIgAAAGRycy9kb3ducmV2LnhtbFBLAQIUABQAAAAIAIdO4kAz&#10;LwWeOwAAADkAAAAQAAAAAAAAAAEAIAAAAA4BAABkcnMvc2hhcGV4bWwueG1sUEsFBgAAAAAGAAYA&#10;WwEAALgDAAAAAA==&#10;" adj="11307">
              <v:path/>
              <v:fill focussize="0,0"/>
              <v:stroke miterlimit="2"/>
              <v:imagedata o:title=""/>
              <o:lock v:ext="edit"/>
              <v:textbox style="layout-flow:vertical-ideographic;"/>
            </v:shape>
            <v:shape id="下箭头 25" o:spid="_x0000_s1325" o:spt="67" type="#_x0000_t67" style="position:absolute;left:10011;top:7445;height:422;width:143;" coordsize="21600,21600" o:gfxdata="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a5ie/&#10;AAAA2wAAAA8AAAAAAAAAAQAgAAAAIgAAAGRycy9kb3ducmV2LnhtbFBLAQIUABQAAAAIAIdO4kAz&#10;LwWeOwAAADkAAAAQAAAAAAAAAAEAIAAAAA4BAABkcnMvc2hhcGV4bWwueG1sUEsFBgAAAAAGAAYA&#10;WwEAALgDAAAAAA==&#10;" adj="17390">
              <v:path/>
              <v:fill focussize="0,0"/>
              <v:stroke miterlimit="2"/>
              <v:imagedata o:title=""/>
              <o:lock v:ext="edit"/>
              <v:textbox style="layout-flow:vertical-ideographic;"/>
            </v:shape>
            <v:shape id="下箭头 26" o:spid="_x0000_s1326" o:spt="67" type="#_x0000_t67" style="position:absolute;left:14015;top:7457;height:354;width:143;" coordsize="21600,21600" o:gfxdata="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pGlu8AAAA&#10;2wAAAA8AAAAAAAAAAQAgAAAAIgAAAGRycy9kb3ducmV2LnhtbFBLAQIUABQAAAAIAIdO4kAzLwWe&#10;OwAAADkAAAAQAAAAAAAAAAEAIAAAAAsBAABkcnMvc2hhcGV4bWwueG1sUEsFBgAAAAAGAAYAWwEA&#10;ALUDAAAAAA==&#10;" adj="16582">
              <v:path/>
              <v:fill focussize="0,0"/>
              <v:stroke miterlimit="2"/>
              <v:imagedata o:title=""/>
              <o:lock v:ext="edit"/>
              <v:textbox style="layout-flow:vertical-ideographic;"/>
            </v:shape>
            <v:shape id="下箭头 27" o:spid="_x0000_s1327" o:spt="67" type="#_x0000_t67" style="position:absolute;left:10012;top:8837;height:363;width:143;" coordsize="21600,21600" o:gfxdata="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5l4PLsAAADb&#10;AAAADwAAAAAAAAABACAAAAAiAAAAZHJzL2Rvd25yZXYueG1sUEsBAhQAFAAAAAgAh07iQDMvBZ47&#10;AAAAOQAAABAAAAAAAAAAAQAgAAAACgEAAGRycy9zaGFwZXhtbC54bWxQSwUGAAAAAAYABgBbAQAA&#10;tAMAAAAA&#10;" adj="15980">
              <v:path/>
              <v:fill focussize="0,0"/>
              <v:stroke miterlimit="2"/>
              <v:imagedata o:title=""/>
              <o:lock v:ext="edit"/>
              <v:textbox style="layout-flow:vertical-ideographic;"/>
            </v:shape>
            <v:shape id="下箭头 28" o:spid="_x0000_s1328" o:spt="67" type="#_x0000_t67" style="position:absolute;left:9985;top:10182;height:352;width:156;" coordsize="21600,21600" o:gfxdata="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Xz1HHrUAAADbAAAADwAA&#10;AAAAAAABACAAAAAiAAAAZHJzL2Rvd25yZXYueG1sUEsBAhQAFAAAAAgAh07iQDMvBZ47AAAAOQAA&#10;ABAAAAAAAAAAAQAgAAAABAEAAGRycy9zaGFwZXhtbC54bWxQSwUGAAAAAAYABgBbAQAArgMAAAAA&#10;" adj="13818">
              <v:path/>
              <v:fill focussize="0,0"/>
              <v:stroke miterlimit="2"/>
              <v:imagedata o:title=""/>
              <o:lock v:ext="edit"/>
              <v:textbox style="layout-flow:vertical-ideographic;"/>
            </v:shape>
            <v:shape id="下箭头 29" o:spid="_x0000_s1329" o:spt="67" type="#_x0000_t67" style="position:absolute;left:9998;top:11546;height:300;width:156;" coordsize="21600,21600" o:gfxdata="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WP174A&#10;AADbAAAADwAAAAAAAAABACAAAAAiAAAAZHJzL2Rvd25yZXYueG1sUEsBAhQAFAAAAAgAh07iQDMv&#10;BZ47AAAAOQAAABAAAAAAAAAAAQAgAAAADQEAAGRycy9zaGFwZXhtbC54bWxQSwUGAAAAAAYABgBb&#10;AQAAtwMAAAAA&#10;" adj="13946">
              <v:path/>
              <v:fill focussize="0,0"/>
              <v:stroke miterlimit="2"/>
              <v:imagedata o:title=""/>
              <o:lock v:ext="edit"/>
              <v:textbox style="layout-flow:vertical-ideographic;"/>
            </v:shape>
            <v:shape id="下箭头 30" o:spid="_x0000_s1330" o:spt="67" type="#_x0000_t67" style="position:absolute;left:14028;top:8783;height:321;width:144;" coordsize="21600,21600" o:gfxdata="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W+N9K8AAAA&#10;2wAAAA8AAAAAAAAAAQAgAAAAIgAAAGRycy9kb3ducmV2LnhtbFBLAQIUABQAAAAIAIdO4kAzLwWe&#10;OwAAADkAAAAQAAAAAAAAAAEAIAAAAAsBAABkcnMvc2hhcGV4bWwueG1sUEsFBgAAAAAGAAYAWwEA&#10;ALUDAAAAAA==&#10;" adj="15251">
              <v:path/>
              <v:fill focussize="0,0"/>
              <v:stroke miterlimit="2"/>
              <v:imagedata o:title=""/>
              <o:lock v:ext="edit"/>
              <v:textbox style="layout-flow:vertical-ideographic;"/>
            </v:shape>
            <v:shape id="下箭头 34" o:spid="_x0000_s1331" o:spt="67" type="#_x0000_t67" style="position:absolute;left:12403;top:5640;height:395;width:245;v-text-anchor:middle;" coordsize="21600,21600" o:gfxdata="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icby/&#10;AAAA2wAAAA8AAAAAAAAAAQAgAAAAIgAAAGRycy9kb3ducmV2LnhtbFBLAQIUABQAAAAIAIdO4kAz&#10;LwWeOwAAADkAAAAQAAAAAAAAAAEAIAAAAA4BAABkcnMvc2hhcGV4bWwueG1sUEsFBgAAAAAGAAYA&#10;WwEAALgDAAAAAA==&#10;" adj="14902">
              <v:path/>
              <v:fill focussize="0,0"/>
              <v:stroke miterlimit="2"/>
              <v:imagedata o:title=""/>
              <o:lock v:ext="edit"/>
            </v:shape>
            <w10:wrap type="none"/>
            <w10:anchorlock/>
          </v:group>
        </w:pict>
      </w:r>
    </w:p>
    <w:p>
      <w:pPr>
        <w:spacing w:line="360" w:lineRule="auto"/>
        <w:ind w:firstLine="200"/>
        <w:rPr>
          <w:rFonts w:ascii="黑体" w:hAnsi="黑体" w:eastAsia="黑体" w:cs="黑体"/>
          <w:bCs/>
          <w:sz w:val="30"/>
          <w:szCs w:val="30"/>
        </w:rPr>
      </w:pPr>
    </w:p>
    <w:p>
      <w:pPr>
        <w:pStyle w:val="38"/>
        <w:keepNext/>
        <w:ind w:firstLine="643" w:firstLineChars="200"/>
        <w:jc w:val="both"/>
        <w:rPr>
          <w:rFonts w:hint="eastAsia"/>
          <w:b/>
          <w:bCs/>
          <w:sz w:val="32"/>
          <w:szCs w:val="32"/>
        </w:rPr>
      </w:pPr>
      <w:r>
        <w:rPr>
          <w:rFonts w:hint="eastAsia"/>
          <w:b/>
          <w:bCs/>
          <w:sz w:val="32"/>
          <w:szCs w:val="32"/>
          <w:lang w:val="en-US" w:eastAsia="zh-CN"/>
        </w:rPr>
        <w:t>六、</w:t>
      </w:r>
      <w:r>
        <w:rPr>
          <w:rFonts w:hint="eastAsia"/>
          <w:b/>
          <w:bCs/>
          <w:sz w:val="32"/>
          <w:szCs w:val="32"/>
        </w:rPr>
        <w:t>竞赛赛卷</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本赛项在正式比赛前公开竞赛样题。</w:t>
      </w:r>
    </w:p>
    <w:p>
      <w:pPr>
        <w:pStyle w:val="38"/>
        <w:keepNext/>
        <w:ind w:firstLine="643" w:firstLineChars="200"/>
        <w:jc w:val="both"/>
        <w:rPr>
          <w:rFonts w:hint="eastAsia"/>
          <w:b/>
          <w:bCs/>
          <w:sz w:val="32"/>
          <w:szCs w:val="32"/>
        </w:rPr>
      </w:pPr>
      <w:r>
        <w:rPr>
          <w:rFonts w:hint="eastAsia"/>
          <w:b/>
          <w:bCs/>
          <w:sz w:val="32"/>
          <w:szCs w:val="32"/>
          <w:lang w:val="en-US" w:eastAsia="zh-CN"/>
        </w:rPr>
        <w:t>七、</w:t>
      </w:r>
      <w:r>
        <w:rPr>
          <w:rFonts w:hint="eastAsia"/>
          <w:b/>
          <w:bCs/>
          <w:sz w:val="32"/>
          <w:szCs w:val="32"/>
        </w:rPr>
        <w:t>竞赛规则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1.参赛选手须为2名同校专兼职教师。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2.每个学校只能报名一支参赛队伍。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（二）熟悉场地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1.正式比赛前1天，统一安排各参赛队有序地熟悉场地，熟悉场地限定在观摩区活动，不允许进入比赛区。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2.熟悉场地时严禁与现场工作人员进行交流，不发表没有根据以及有损大赛整体形象的言论。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3.熟悉场地期间严禁拥挤，喧哗，以免发生意外事故。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（三）赛场要求</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1.参赛队选手在比赛开始前90分钟到赛场指定地点报到，接受工作人员对选手身份、资格和有关证件的检查。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2.参赛队赛位由两次加密确定，确定的赛位不得擅自变更、调整。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3.参赛队选手进入指定赛位后，在裁判长发布“竞赛开始”指令之前，不得进行包括设备检查和调试在内的任何操作。竞赛计时开始后，参赛队选手未到的，视为自动放弃。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4.比赛期间赛项执委会适时提供饮水，参赛队选手不得离开指定的场地，且休息、饮水、上洗手间等，不安排专门用时，统一计在竞赛时间内。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5.竞赛所需的电脑、配套硬件、软件、检测维修所用的工具仪器统一提供，参赛队选手可以根据竞赛需要自行选择使用（不得自带）。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6.严禁参赛队选手私自携带通信、存储、照相、摄录等设备进入赛场。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7.所有人员在赛场内不得喧哗，不得有影响其他选手完成竞赛任务的行为。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8.竞赛操作结束时，参赛队选手应按照指定路线有序离开赛场。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（四）成绩评定及公布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赛结束后，由各裁判组对参赛队选手提交的竞赛结果逐项评分，并进行成绩汇总和复核，汇总复核后再进行解密。记分员将解密后的各参赛队伍（选手）成绩汇总成比赛成绩，经裁判长、监督组签字后，公布比赛结果（本赛项将在赛项指南中明确公布方式）。公布 2 小时无异议后，将赛项总成绩的最终结果录入赛务管理系统，经裁判长、监督组长和仲裁长在系统导出成绩单上审核签字后，在闭赛式上宣布并颁发证书。</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2.竞赛结果的评分方法及标准见本规程的“十一、成绩评定”项。</w:t>
      </w:r>
    </w:p>
    <w:p>
      <w:pPr>
        <w:pStyle w:val="38"/>
        <w:keepNext/>
        <w:ind w:firstLine="643" w:firstLineChars="200"/>
        <w:jc w:val="both"/>
        <w:rPr>
          <w:rFonts w:hint="eastAsia"/>
          <w:b/>
          <w:bCs/>
          <w:sz w:val="32"/>
          <w:szCs w:val="32"/>
        </w:rPr>
      </w:pPr>
      <w:r>
        <w:rPr>
          <w:rFonts w:hint="eastAsia"/>
          <w:b/>
          <w:bCs/>
          <w:sz w:val="32"/>
          <w:szCs w:val="32"/>
        </w:rPr>
        <w:t>八、竞赛环境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总面积不小于1500㎡，依参赛名额确定比赛工作区，每个赛位面积在10㎡左右且标明编号，赛位之间的通道间隔不小于1.5米，工位间加装隔离挡板和隔离线。另外，设置医务室1间、监考/裁判会议室兼休息室1间和加密隔离室2间，设备、材料、工具、耗材等储藏室1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环境标准要求保证赛场采光(大于500lux)、照明和通风良好；提供稳定的水、电，并提供应急的备用电源。在竞赛不被干扰的前提下赛场全面开放，欢迎各界人员沿指定路线、在指定区域内到现场观赛。具备两个以上安全疏散通道，并设有应急疏散图，配备必要的灭火器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颁奖场地、参赛队选手休息场地另计。</w:t>
      </w:r>
    </w:p>
    <w:p>
      <w:pPr>
        <w:pStyle w:val="38"/>
        <w:keepNext/>
        <w:ind w:firstLine="643" w:firstLineChars="200"/>
        <w:jc w:val="both"/>
        <w:rPr>
          <w:rFonts w:hint="eastAsia"/>
          <w:b/>
          <w:bCs/>
          <w:sz w:val="32"/>
          <w:szCs w:val="32"/>
        </w:rPr>
      </w:pPr>
      <w:r>
        <w:rPr>
          <w:rFonts w:hint="eastAsia"/>
          <w:b/>
          <w:bCs/>
          <w:sz w:val="32"/>
          <w:szCs w:val="32"/>
        </w:rPr>
        <w:t>九、技术规范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（一）职业素养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1、敬业爱岗，忠于职守，严于律已，刻苦钻研；</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2、勤于学习，善于思考，勇于探索，敏于创新；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3、认真负责，吃苦耐劳，团结协作，精益求精；</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4、遵守规程，操作规范，安全生产，文明施工；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5、着装整洁，爱护设备，保持清洁，工作有序。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（二）相关知识与技能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1、电工与电子技术基础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2、电子产品装接工艺与流程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3、计算机应用技能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4、电子产品的故障检测与维修</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5、硬盘维修与数据恢复技术</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（三）相关职业标准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1、电子设备装配调试人员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2、计算机制造人员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3、电子器件制造人员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4、电子元件制造人员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5、计算机和办公设备维修人员</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6、计算机制造人员</w:t>
      </w:r>
    </w:p>
    <w:p>
      <w:pPr>
        <w:pStyle w:val="38"/>
        <w:keepNext/>
        <w:ind w:firstLine="643" w:firstLineChars="200"/>
        <w:jc w:val="both"/>
        <w:rPr>
          <w:rFonts w:hint="eastAsia"/>
          <w:b/>
          <w:bCs/>
          <w:sz w:val="32"/>
          <w:szCs w:val="32"/>
        </w:rPr>
      </w:pPr>
      <w:r>
        <w:rPr>
          <w:rFonts w:hint="eastAsia"/>
          <w:b/>
          <w:bCs/>
          <w:sz w:val="32"/>
          <w:szCs w:val="32"/>
        </w:rPr>
        <w:t>十、技术平台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（一）比赛器材及具体要求说明</w:t>
      </w:r>
    </w:p>
    <w:tbl>
      <w:tblPr>
        <w:tblStyle w:val="16"/>
        <w:tblW w:w="8583" w:type="dxa"/>
        <w:jc w:val="center"/>
        <w:tblLayout w:type="fixed"/>
        <w:tblCellMar>
          <w:top w:w="0" w:type="dxa"/>
          <w:left w:w="108" w:type="dxa"/>
          <w:bottom w:w="0" w:type="dxa"/>
          <w:right w:w="108" w:type="dxa"/>
        </w:tblCellMar>
      </w:tblPr>
      <w:tblGrid>
        <w:gridCol w:w="789"/>
        <w:gridCol w:w="2249"/>
        <w:gridCol w:w="4060"/>
        <w:gridCol w:w="1485"/>
      </w:tblGrid>
      <w:tr>
        <w:tblPrEx>
          <w:tblCellMar>
            <w:top w:w="0" w:type="dxa"/>
            <w:left w:w="108" w:type="dxa"/>
            <w:bottom w:w="0" w:type="dxa"/>
            <w:right w:w="108" w:type="dxa"/>
          </w:tblCellMar>
        </w:tblPrEx>
        <w:trPr>
          <w:trHeight w:val="46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序号</w:t>
            </w:r>
          </w:p>
        </w:tc>
        <w:tc>
          <w:tcPr>
            <w:tcW w:w="2249"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仪器设备</w:t>
            </w:r>
          </w:p>
        </w:tc>
        <w:tc>
          <w:tcPr>
            <w:tcW w:w="4060"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规格说明</w:t>
            </w:r>
          </w:p>
        </w:tc>
        <w:tc>
          <w:tcPr>
            <w:tcW w:w="1485"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品牌</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维修工作台</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防静电维修工作台</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2</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数字万用表</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sz w:val="24"/>
              </w:rPr>
              <w:t>交流电压</w:t>
            </w:r>
            <w:r>
              <w:rPr>
                <w:rFonts w:ascii="仿宋_GB2312" w:hAnsi="仿宋" w:eastAsia="仿宋_GB2312"/>
                <w:sz w:val="24"/>
              </w:rPr>
              <w:t>750</w:t>
            </w:r>
            <w:r>
              <w:rPr>
                <w:rFonts w:hint="eastAsia" w:ascii="仿宋_GB2312" w:hAnsi="仿宋" w:eastAsia="仿宋_GB2312"/>
                <w:sz w:val="24"/>
              </w:rPr>
              <w:t>V±(0.8%+3)，交流电流</w:t>
            </w:r>
            <w:r>
              <w:rPr>
                <w:rFonts w:ascii="仿宋_GB2312" w:hAnsi="仿宋" w:eastAsia="仿宋_GB2312"/>
                <w:sz w:val="24"/>
              </w:rPr>
              <w:t>1</w:t>
            </w:r>
            <w:r>
              <w:rPr>
                <w:rFonts w:hint="eastAsia" w:ascii="仿宋_GB2312" w:hAnsi="仿宋" w:eastAsia="仿宋_GB2312"/>
                <w:sz w:val="24"/>
              </w:rPr>
              <w:t>0A±(0.8%+1)，直流电压1000V±(0.5%+1)，直流电流</w:t>
            </w:r>
            <w:r>
              <w:rPr>
                <w:rFonts w:ascii="仿宋_GB2312" w:hAnsi="仿宋" w:eastAsia="仿宋_GB2312"/>
                <w:sz w:val="24"/>
              </w:rPr>
              <w:t>1</w:t>
            </w:r>
            <w:r>
              <w:rPr>
                <w:rFonts w:hint="eastAsia" w:ascii="仿宋_GB2312" w:hAnsi="仿宋" w:eastAsia="仿宋_GB2312"/>
                <w:sz w:val="24"/>
              </w:rPr>
              <w:t>0A±(1%+3)，电阻</w:t>
            </w:r>
            <w:r>
              <w:rPr>
                <w:rFonts w:ascii="仿宋_GB2312" w:hAnsi="仿宋" w:eastAsia="仿宋_GB2312"/>
                <w:sz w:val="24"/>
              </w:rPr>
              <w:t>4</w:t>
            </w:r>
            <w:r>
              <w:rPr>
                <w:rFonts w:hint="eastAsia" w:ascii="仿宋_GB2312" w:hAnsi="仿宋" w:eastAsia="仿宋_GB2312"/>
                <w:sz w:val="24"/>
              </w:rPr>
              <w:t>0MW±(0.8%+1)，电容10mF±(4%+3)</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数字示波器</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100MHz以上双通道示波器</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nil"/>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w:t>
            </w:r>
          </w:p>
        </w:tc>
        <w:tc>
          <w:tcPr>
            <w:tcW w:w="2249"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恒温烙铁</w:t>
            </w:r>
          </w:p>
        </w:tc>
        <w:tc>
          <w:tcPr>
            <w:tcW w:w="4060" w:type="dxa"/>
            <w:tcBorders>
              <w:top w:val="nil"/>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温度调节范围 150-450（℃）</w:t>
            </w:r>
          </w:p>
        </w:tc>
        <w:tc>
          <w:tcPr>
            <w:tcW w:w="1485" w:type="dxa"/>
            <w:tcBorders>
              <w:top w:val="nil"/>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5</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热风焊台</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温度调节范围：100～480℃</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6</w:t>
            </w:r>
          </w:p>
        </w:tc>
        <w:tc>
          <w:tcPr>
            <w:tcW w:w="224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直流稳压电源</w:t>
            </w:r>
          </w:p>
        </w:tc>
        <w:tc>
          <w:tcPr>
            <w:tcW w:w="406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I路以上0-30 V可变电压输出</w:t>
            </w:r>
          </w:p>
        </w:tc>
        <w:tc>
          <w:tcPr>
            <w:tcW w:w="148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7</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放大镜台灯</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高强照明、五倍放大功能</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8</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工具箱（含工具）</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内含螺丝刀套件、毛刷、洗板水壶、吸锡枪、尖嘴钳、偏口钳、焊锡丝、防静电镊子</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9</w:t>
            </w:r>
          </w:p>
        </w:tc>
        <w:tc>
          <w:tcPr>
            <w:tcW w:w="2249"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电脑主机</w:t>
            </w:r>
          </w:p>
        </w:tc>
        <w:tc>
          <w:tcPr>
            <w:tcW w:w="4060"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主频1GHz或以上CPU，1GB或以上内存，安装Win7操作系统。</w:t>
            </w:r>
          </w:p>
        </w:tc>
        <w:tc>
          <w:tcPr>
            <w:tcW w:w="1485" w:type="dxa"/>
            <w:tcBorders>
              <w:top w:val="single" w:color="auto" w:sz="4" w:space="0"/>
              <w:left w:val="nil"/>
              <w:bottom w:val="single" w:color="auto" w:sz="4" w:space="0"/>
              <w:right w:val="single" w:color="auto" w:sz="4" w:space="0"/>
            </w:tcBorders>
            <w:vAlign w:val="center"/>
          </w:tcPr>
          <w:p>
            <w:pPr>
              <w:jc w:val="center"/>
            </w:pPr>
            <w:r>
              <w:rPr>
                <w:rFonts w:hint="eastAsia"/>
              </w:rPr>
              <w:t>多品牌适用</w:t>
            </w:r>
          </w:p>
        </w:tc>
      </w:tr>
      <w:tr>
        <w:tblPrEx>
          <w:tblCellMar>
            <w:top w:w="0" w:type="dxa"/>
            <w:left w:w="108" w:type="dxa"/>
            <w:bottom w:w="0" w:type="dxa"/>
            <w:right w:w="108" w:type="dxa"/>
          </w:tblCellMar>
        </w:tblPrEx>
        <w:trPr>
          <w:trHeight w:val="2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w:t>
            </w:r>
            <w:r>
              <w:rPr>
                <w:rFonts w:ascii="仿宋_GB2312" w:hAnsi="仿宋" w:eastAsia="仿宋_GB2312"/>
                <w:color w:val="000000"/>
                <w:sz w:val="24"/>
              </w:rPr>
              <w:t>0</w:t>
            </w:r>
          </w:p>
        </w:tc>
        <w:tc>
          <w:tcPr>
            <w:tcW w:w="2249"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Arial"/>
                <w:color w:val="000000"/>
                <w:sz w:val="24"/>
              </w:rPr>
            </w:pPr>
            <w:r>
              <w:rPr>
                <w:rFonts w:hint="eastAsia" w:ascii="仿宋_GB2312" w:hAnsi="仿宋" w:eastAsia="仿宋_GB2312" w:cs="Arial"/>
                <w:bCs/>
                <w:color w:val="000000"/>
                <w:sz w:val="24"/>
              </w:rPr>
              <w:t>数据恢复平台</w:t>
            </w:r>
          </w:p>
        </w:tc>
        <w:tc>
          <w:tcPr>
            <w:tcW w:w="4060" w:type="dxa"/>
            <w:tcBorders>
              <w:top w:val="single" w:color="auto" w:sz="4" w:space="0"/>
              <w:left w:val="nil"/>
              <w:bottom w:val="single" w:color="auto" w:sz="4" w:space="0"/>
              <w:right w:val="single" w:color="auto" w:sz="4" w:space="0"/>
            </w:tcBorders>
            <w:vAlign w:val="center"/>
          </w:tcPr>
          <w:p>
            <w:pPr>
              <w:snapToGrid w:val="0"/>
              <w:jc w:val="center"/>
              <w:rPr>
                <w:rFonts w:ascii="仿宋_GB2312" w:hAnsi="仿宋" w:eastAsia="仿宋_GB2312" w:cs="Arial"/>
                <w:color w:val="000000"/>
                <w:sz w:val="24"/>
              </w:rPr>
            </w:pPr>
            <w:r>
              <w:rPr>
                <w:rFonts w:hint="eastAsia" w:ascii="仿宋_GB2312" w:hAnsi="仿宋" w:eastAsia="仿宋_GB2312" w:cs="Arial"/>
                <w:color w:val="000000"/>
                <w:sz w:val="24"/>
              </w:rPr>
              <w:t>能够进行硬盘维修及数据恢复操作</w:t>
            </w:r>
          </w:p>
        </w:tc>
        <w:tc>
          <w:tcPr>
            <w:tcW w:w="1485" w:type="dxa"/>
            <w:tcBorders>
              <w:top w:val="single" w:color="auto" w:sz="4" w:space="0"/>
              <w:left w:val="nil"/>
              <w:bottom w:val="single" w:color="auto" w:sz="4" w:space="0"/>
              <w:right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s="Arial"/>
                <w:bCs/>
                <w:color w:val="000000"/>
                <w:sz w:val="24"/>
              </w:rPr>
              <w:t>中盈创信</w:t>
            </w:r>
            <w:r>
              <w:rPr>
                <w:rFonts w:hint="eastAsia" w:ascii="仿宋_GB2312" w:hAnsi="仿宋" w:eastAsia="仿宋_GB2312" w:cs="Arial"/>
                <w:color w:val="000000"/>
                <w:sz w:val="24"/>
              </w:rPr>
              <w:t>SOL-DRFIX-802</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（二）技术平台标准</w:t>
      </w:r>
    </w:p>
    <w:tbl>
      <w:tblPr>
        <w:tblStyle w:val="16"/>
        <w:tblW w:w="6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807"/>
        <w:gridCol w:w="3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887"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序号</w:t>
            </w:r>
          </w:p>
        </w:tc>
        <w:tc>
          <w:tcPr>
            <w:tcW w:w="2807"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产品名称</w:t>
            </w:r>
          </w:p>
        </w:tc>
        <w:tc>
          <w:tcPr>
            <w:tcW w:w="3102"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智能检测平台中心管理系统V</w:t>
            </w:r>
            <w:r>
              <w:rPr>
                <w:rFonts w:ascii="仿宋_GB2312" w:hAnsi="仿宋" w:eastAsia="仿宋_GB2312"/>
                <w:color w:val="000000"/>
                <w:sz w:val="24"/>
              </w:rPr>
              <w:t>2.0</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中盈创信SOL-MANAGER-</w:t>
            </w:r>
            <w:r>
              <w:rPr>
                <w:rFonts w:ascii="仿宋_GB2312" w:hAnsi="仿宋" w:eastAsia="仿宋_GB2312"/>
                <w:color w:val="000000"/>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2</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智能检测软件V</w:t>
            </w:r>
            <w:r>
              <w:rPr>
                <w:rFonts w:ascii="仿宋_GB2312" w:hAnsi="仿宋" w:eastAsia="仿宋_GB2312"/>
                <w:color w:val="000000"/>
                <w:sz w:val="24"/>
              </w:rPr>
              <w:t>2.0</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中盈创信SOL-SOFT-X</w:t>
            </w:r>
            <w:r>
              <w:rPr>
                <w:rFonts w:ascii="仿宋_GB2312" w:hAnsi="仿宋" w:eastAsia="仿宋_GB2312"/>
                <w:color w:val="000000"/>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3</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智能检测云平台</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中盈创信SOL-MONITOR-</w:t>
            </w:r>
            <w:r>
              <w:rPr>
                <w:rFonts w:ascii="仿宋_GB2312" w:hAnsi="仿宋" w:eastAsia="仿宋_GB2312"/>
                <w:color w:val="000000"/>
                <w:sz w:val="24"/>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8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w:t>
            </w:r>
          </w:p>
        </w:tc>
        <w:tc>
          <w:tcPr>
            <w:tcW w:w="2807"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电脑内置操作系统软件</w:t>
            </w:r>
          </w:p>
        </w:tc>
        <w:tc>
          <w:tcPr>
            <w:tcW w:w="3102"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Windows 7</w:t>
            </w:r>
            <w:r>
              <w:rPr>
                <w:rFonts w:ascii="仿宋_GB2312" w:hAnsi="仿宋" w:eastAsia="仿宋_GB2312"/>
                <w:color w:val="000000"/>
                <w:sz w:val="24"/>
              </w:rPr>
              <w:t xml:space="preserve"> 64</w:t>
            </w:r>
            <w:r>
              <w:rPr>
                <w:rFonts w:hint="eastAsia" w:ascii="仿宋_GB2312" w:hAnsi="仿宋" w:eastAsia="仿宋_GB2312"/>
                <w:color w:val="000000"/>
                <w:sz w:val="24"/>
              </w:rPr>
              <w:t>位家庭板或旗舰板</w:t>
            </w:r>
          </w:p>
        </w:tc>
      </w:tr>
    </w:tbl>
    <w:p>
      <w:pPr>
        <w:pStyle w:val="38"/>
        <w:keepNext/>
        <w:ind w:firstLine="643" w:firstLineChars="200"/>
        <w:jc w:val="both"/>
        <w:rPr>
          <w:rFonts w:hint="eastAsia"/>
          <w:b/>
          <w:bCs/>
          <w:sz w:val="32"/>
          <w:szCs w:val="32"/>
        </w:rPr>
      </w:pPr>
      <w:r>
        <w:rPr>
          <w:rFonts w:hint="eastAsia"/>
          <w:b/>
          <w:bCs/>
          <w:sz w:val="32"/>
          <w:szCs w:val="32"/>
        </w:rPr>
        <w:t>十一、成绩评定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本赛项评分本着公平、公正、公开的原则。评分标准在注重对参赛选手综合能力考察的同时,也能客观反映参赛选手的技能水平及职业素养。</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（一）评分方法及裁判分工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裁判组由裁判长、加密裁判、现场评分裁判、结果性评分裁判组成。</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本赛项评分包括机评分、客观结果性评分及主观结果性评分三种。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赛项设立4个评分小组，1个现场评分小组，负责任务一（机评分，板卡检测与维修）、职业素养的评分；1个客观结果性评分小组，负责任务二（存储介质维修及数据恢复）评分；2个主观结果性评分小组，负责任务三（维修报告）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1.机评分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裁判长与客观评分小组直接从平台服务器中调取。对于竞赛任务1的维修结果，现场采用专用的智能检测平台及软件进行自动评分并记录成绩，选手在竞赛结束后，根据裁判的口令，通过智能检测平台提交结果即可。</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2.客观结果性评分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客观结果性评分小组负责任务二的评分。评分方法：将选手对存储介质维修及数据恢复的结果与标准答案进行对照，即可确定选手得分。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3.主观结果性评分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由2个主观结果性评分小组分别负责。对于竞赛任务中参赛队选手填写的维修报告，依照给定的参考答案，对填写的内容分别进行打分，取平均分（去掉最高分和最低分）作为参赛队本项得分。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4.职业素养评分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由现场裁判逐个对参赛选手评分。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5.评分结果若出现分值相同情况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任务模块得分进行排名，先比较数据恢复部分得分，得分高者则排名靠前，得分低者则排名靠后；如果数据恢复部分得分相同，再比较板卡维修部分得分，得分高者则排名靠前，得分低者则排名靠后；如果板卡维修部分得分又相同，最后比较竞赛工作报告部分得分，得分高者则排名靠前，得分低者则排名靠后。</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（二）评分标准</w:t>
      </w:r>
    </w:p>
    <w:tbl>
      <w:tblPr>
        <w:tblStyle w:val="16"/>
        <w:tblW w:w="82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6"/>
        <w:gridCol w:w="851"/>
        <w:gridCol w:w="3436"/>
        <w:gridCol w:w="1116"/>
        <w:gridCol w:w="15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 w:hRule="atLeast"/>
          <w:jc w:val="center"/>
        </w:trPr>
        <w:tc>
          <w:tcPr>
            <w:tcW w:w="124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一级指标</w:t>
            </w:r>
          </w:p>
        </w:tc>
        <w:tc>
          <w:tcPr>
            <w:tcW w:w="851"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比例</w:t>
            </w:r>
          </w:p>
        </w:tc>
        <w:tc>
          <w:tcPr>
            <w:tcW w:w="343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二级指标</w:t>
            </w:r>
          </w:p>
        </w:tc>
        <w:tc>
          <w:tcPr>
            <w:tcW w:w="111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比例</w:t>
            </w:r>
          </w:p>
        </w:tc>
        <w:tc>
          <w:tcPr>
            <w:tcW w:w="1596" w:type="dxa"/>
            <w:vAlign w:val="center"/>
          </w:tcPr>
          <w:p>
            <w:pPr>
              <w:spacing w:line="560" w:lineRule="exact"/>
              <w:jc w:val="center"/>
              <w:rPr>
                <w:rFonts w:ascii="仿宋_GB2312" w:hAnsi="仿宋" w:eastAsia="仿宋_GB2312"/>
                <w:b/>
                <w:color w:val="000000"/>
                <w:sz w:val="24"/>
              </w:rPr>
            </w:pPr>
            <w:r>
              <w:rPr>
                <w:rFonts w:hint="eastAsia" w:ascii="仿宋_GB2312" w:hAnsi="仿宋" w:eastAsia="仿宋_GB2312"/>
                <w:b/>
                <w:color w:val="000000"/>
                <w:sz w:val="24"/>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Align w:val="center"/>
          </w:tcPr>
          <w:p>
            <w:pPr>
              <w:rPr>
                <w:rFonts w:ascii="仿宋_GB2312" w:hAnsi="仿宋" w:eastAsia="仿宋_GB2312"/>
                <w:color w:val="000000"/>
                <w:sz w:val="24"/>
              </w:rPr>
            </w:pPr>
            <w:r>
              <w:rPr>
                <w:rFonts w:hint="eastAsia" w:ascii="仿宋_GB2312" w:hAnsi="仿宋" w:eastAsia="仿宋_GB2312"/>
                <w:color w:val="000000"/>
                <w:sz w:val="24"/>
              </w:rPr>
              <w:t>电路板检测与维修</w:t>
            </w:r>
          </w:p>
        </w:tc>
        <w:tc>
          <w:tcPr>
            <w:tcW w:w="851"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40%</w:t>
            </w: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功能板检测与维修</w:t>
            </w:r>
          </w:p>
        </w:tc>
        <w:tc>
          <w:tcPr>
            <w:tcW w:w="1116" w:type="dxa"/>
          </w:tcPr>
          <w:p>
            <w:pPr>
              <w:jc w:val="center"/>
              <w:rPr>
                <w:rFonts w:ascii="仿宋_GB2312" w:hAnsi="仿宋" w:eastAsia="仿宋_GB2312"/>
                <w:color w:val="000000"/>
                <w:sz w:val="24"/>
              </w:rPr>
            </w:pPr>
            <w:r>
              <w:rPr>
                <w:rFonts w:ascii="仿宋_GB2312" w:hAnsi="仿宋" w:eastAsia="仿宋_GB2312"/>
                <w:color w:val="000000"/>
                <w:sz w:val="24"/>
              </w:rPr>
              <w:t>40</w:t>
            </w:r>
            <w:r>
              <w:rPr>
                <w:rFonts w:hint="eastAsia" w:ascii="仿宋_GB2312" w:hAnsi="仿宋" w:eastAsia="仿宋_GB2312"/>
                <w:color w:val="000000"/>
                <w:sz w:val="24"/>
              </w:rPr>
              <w:t>%</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机评分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Align w:val="center"/>
          </w:tcPr>
          <w:p>
            <w:pPr>
              <w:rPr>
                <w:rFonts w:ascii="仿宋_GB2312" w:hAnsi="仿宋" w:eastAsia="仿宋_GB2312"/>
                <w:color w:val="000000"/>
                <w:sz w:val="24"/>
              </w:rPr>
            </w:pPr>
            <w:r>
              <w:rPr>
                <w:rFonts w:hint="eastAsia" w:ascii="仿宋_GB2312" w:hAnsi="仿宋" w:eastAsia="仿宋_GB2312"/>
                <w:color w:val="000000"/>
                <w:sz w:val="24"/>
              </w:rPr>
              <w:t>存储介质维修及数据恢复</w:t>
            </w:r>
          </w:p>
        </w:tc>
        <w:tc>
          <w:tcPr>
            <w:tcW w:w="851"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40%</w:t>
            </w: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各类存储介质的数据恢复</w:t>
            </w:r>
          </w:p>
        </w:tc>
        <w:tc>
          <w:tcPr>
            <w:tcW w:w="1116" w:type="dxa"/>
          </w:tcPr>
          <w:p>
            <w:pPr>
              <w:jc w:val="center"/>
              <w:rPr>
                <w:rFonts w:ascii="仿宋_GB2312" w:hAnsi="仿宋" w:eastAsia="仿宋_GB2312"/>
                <w:color w:val="000000"/>
                <w:sz w:val="24"/>
              </w:rPr>
            </w:pPr>
          </w:p>
          <w:p>
            <w:pPr>
              <w:jc w:val="center"/>
              <w:rPr>
                <w:rFonts w:ascii="仿宋_GB2312" w:hAnsi="仿宋" w:eastAsia="仿宋_GB2312"/>
                <w:color w:val="000000"/>
                <w:sz w:val="24"/>
              </w:rPr>
            </w:pPr>
            <w:r>
              <w:rPr>
                <w:rFonts w:ascii="仿宋_GB2312" w:hAnsi="仿宋" w:eastAsia="仿宋_GB2312"/>
                <w:color w:val="000000"/>
                <w:sz w:val="24"/>
              </w:rPr>
              <w:t>40</w:t>
            </w:r>
            <w:r>
              <w:rPr>
                <w:rFonts w:hint="eastAsia" w:ascii="仿宋_GB2312" w:hAnsi="仿宋" w:eastAsia="仿宋_GB2312"/>
                <w:color w:val="000000"/>
                <w:sz w:val="24"/>
              </w:rPr>
              <w:t>%</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客观性评分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tcBorders>
              <w:top w:val="single" w:color="auto" w:sz="4" w:space="0"/>
            </w:tcBorders>
            <w:vAlign w:val="center"/>
          </w:tcPr>
          <w:p>
            <w:pPr>
              <w:rPr>
                <w:rFonts w:ascii="仿宋_GB2312" w:hAnsi="仿宋" w:eastAsia="仿宋_GB2312"/>
                <w:color w:val="000000"/>
                <w:sz w:val="24"/>
              </w:rPr>
            </w:pPr>
            <w:r>
              <w:rPr>
                <w:rFonts w:hint="eastAsia" w:ascii="仿宋_GB2312" w:hAnsi="仿宋" w:eastAsia="仿宋_GB2312"/>
                <w:color w:val="000000"/>
                <w:sz w:val="24"/>
              </w:rPr>
              <w:t>填写竞赛报告单</w:t>
            </w:r>
          </w:p>
        </w:tc>
        <w:tc>
          <w:tcPr>
            <w:tcW w:w="851" w:type="dxa"/>
            <w:tcBorders>
              <w:top w:val="single" w:color="auto" w:sz="4" w:space="0"/>
            </w:tcBorders>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15%</w:t>
            </w:r>
          </w:p>
        </w:tc>
        <w:tc>
          <w:tcPr>
            <w:tcW w:w="3436" w:type="dxa"/>
            <w:vAlign w:val="center"/>
          </w:tcPr>
          <w:p>
            <w:pPr>
              <w:rPr>
                <w:rFonts w:ascii="仿宋_GB2312" w:hAnsi="仿宋" w:eastAsia="仿宋_GB2312"/>
                <w:color w:val="000000"/>
                <w:sz w:val="24"/>
              </w:rPr>
            </w:pPr>
            <w:r>
              <w:rPr>
                <w:rFonts w:hint="eastAsia" w:ascii="仿宋_GB2312" w:hAnsi="仿宋" w:eastAsia="仿宋_GB2312"/>
                <w:color w:val="000000"/>
                <w:sz w:val="24"/>
              </w:rPr>
              <w:t>故障维修过程描述</w:t>
            </w:r>
          </w:p>
        </w:tc>
        <w:tc>
          <w:tcPr>
            <w:tcW w:w="1116"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15%</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olor w:val="000000"/>
                <w:sz w:val="24"/>
              </w:rPr>
              <w:t>主观性评分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restart"/>
            <w:vAlign w:val="center"/>
          </w:tcPr>
          <w:p>
            <w:pPr>
              <w:rPr>
                <w:rFonts w:ascii="仿宋_GB2312" w:hAnsi="仿宋" w:eastAsia="仿宋_GB2312"/>
                <w:color w:val="000000"/>
                <w:sz w:val="24"/>
              </w:rPr>
            </w:pPr>
            <w:r>
              <w:rPr>
                <w:rFonts w:hint="eastAsia" w:ascii="仿宋_GB2312" w:hAnsi="仿宋" w:eastAsia="仿宋_GB2312"/>
                <w:color w:val="000000"/>
                <w:sz w:val="24"/>
              </w:rPr>
              <w:t>职业素养</w:t>
            </w:r>
          </w:p>
        </w:tc>
        <w:tc>
          <w:tcPr>
            <w:tcW w:w="851" w:type="dxa"/>
            <w:vMerge w:val="restart"/>
            <w:vAlign w:val="center"/>
          </w:tcPr>
          <w:p>
            <w:pPr>
              <w:jc w:val="center"/>
              <w:rPr>
                <w:rFonts w:ascii="仿宋_GB2312" w:hAnsi="仿宋" w:eastAsia="仿宋_GB2312"/>
                <w:color w:val="000000"/>
                <w:sz w:val="24"/>
              </w:rPr>
            </w:pPr>
            <w:r>
              <w:rPr>
                <w:rFonts w:hint="eastAsia" w:ascii="仿宋_GB2312" w:hAnsi="仿宋" w:eastAsia="仿宋_GB2312"/>
                <w:color w:val="000000"/>
                <w:sz w:val="24"/>
              </w:rPr>
              <w:t>5%</w:t>
            </w:r>
          </w:p>
        </w:tc>
        <w:tc>
          <w:tcPr>
            <w:tcW w:w="3436" w:type="dxa"/>
            <w:vAlign w:val="center"/>
          </w:tcPr>
          <w:p>
            <w:pPr>
              <w:rPr>
                <w:rFonts w:ascii="仿宋_GB2312" w:hAnsi="仿宋" w:eastAsia="仿宋_GB2312"/>
                <w:color w:val="000000"/>
                <w:sz w:val="24"/>
              </w:rPr>
            </w:pPr>
            <w:r>
              <w:rPr>
                <w:rFonts w:hint="eastAsia" w:ascii="仿宋_GB2312" w:hAnsi="仿宋" w:eastAsia="仿宋_GB2312" w:cs="仿宋"/>
                <w:bCs/>
                <w:color w:val="000000"/>
                <w:sz w:val="24"/>
              </w:rPr>
              <w:t>操作规范</w:t>
            </w:r>
          </w:p>
        </w:tc>
        <w:tc>
          <w:tcPr>
            <w:tcW w:w="1116" w:type="dxa"/>
            <w:vAlign w:val="center"/>
          </w:tcPr>
          <w:p>
            <w:pPr>
              <w:jc w:val="center"/>
              <w:rPr>
                <w:rFonts w:ascii="仿宋_GB2312" w:hAnsi="仿宋" w:eastAsia="仿宋_GB2312"/>
                <w:color w:val="000000"/>
                <w:sz w:val="24"/>
              </w:rPr>
            </w:pPr>
            <w:r>
              <w:rPr>
                <w:rFonts w:hint="eastAsia" w:ascii="仿宋_GB2312" w:hAnsi="仿宋" w:eastAsia="仿宋_GB2312" w:cs="仿宋"/>
                <w:bCs/>
                <w:color w:val="000000"/>
                <w:sz w:val="24"/>
              </w:rPr>
              <w:t>2%</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s="仿宋"/>
                <w:bCs/>
                <w:color w:val="000000"/>
                <w:sz w:val="24"/>
              </w:rPr>
              <w:t>主观性评分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46" w:type="dxa"/>
            <w:vMerge w:val="continue"/>
            <w:vAlign w:val="center"/>
          </w:tcPr>
          <w:p>
            <w:pPr>
              <w:rPr>
                <w:rFonts w:ascii="仿宋_GB2312" w:hAnsi="仿宋" w:eastAsia="仿宋_GB2312"/>
                <w:color w:val="000000"/>
                <w:sz w:val="24"/>
              </w:rPr>
            </w:pPr>
          </w:p>
        </w:tc>
        <w:tc>
          <w:tcPr>
            <w:tcW w:w="851" w:type="dxa"/>
            <w:vMerge w:val="continue"/>
            <w:vAlign w:val="center"/>
          </w:tcPr>
          <w:p>
            <w:pPr>
              <w:jc w:val="center"/>
              <w:rPr>
                <w:rFonts w:ascii="仿宋_GB2312" w:hAnsi="仿宋" w:eastAsia="仿宋_GB2312"/>
                <w:color w:val="000000"/>
                <w:sz w:val="24"/>
              </w:rPr>
            </w:pPr>
          </w:p>
        </w:tc>
        <w:tc>
          <w:tcPr>
            <w:tcW w:w="3436" w:type="dxa"/>
            <w:vAlign w:val="center"/>
          </w:tcPr>
          <w:p>
            <w:pPr>
              <w:rPr>
                <w:rFonts w:ascii="仿宋_GB2312" w:hAnsi="仿宋" w:eastAsia="仿宋_GB2312"/>
                <w:color w:val="000000"/>
                <w:sz w:val="24"/>
              </w:rPr>
            </w:pPr>
            <w:r>
              <w:rPr>
                <w:rFonts w:hint="eastAsia" w:ascii="仿宋_GB2312" w:hAnsi="仿宋" w:eastAsia="仿宋_GB2312" w:cs="仿宋"/>
                <w:bCs/>
                <w:color w:val="000000"/>
                <w:sz w:val="24"/>
              </w:rPr>
              <w:t>工位整洁，焊接工艺</w:t>
            </w:r>
          </w:p>
        </w:tc>
        <w:tc>
          <w:tcPr>
            <w:tcW w:w="1116" w:type="dxa"/>
            <w:vAlign w:val="center"/>
          </w:tcPr>
          <w:p>
            <w:pPr>
              <w:jc w:val="center"/>
              <w:rPr>
                <w:rFonts w:ascii="仿宋_GB2312" w:hAnsi="仿宋" w:eastAsia="仿宋_GB2312"/>
                <w:color w:val="000000"/>
                <w:sz w:val="24"/>
              </w:rPr>
            </w:pPr>
            <w:r>
              <w:rPr>
                <w:rFonts w:ascii="仿宋_GB2312" w:hAnsi="仿宋" w:eastAsia="仿宋_GB2312" w:cs="仿宋"/>
                <w:bCs/>
                <w:color w:val="000000"/>
                <w:sz w:val="24"/>
              </w:rPr>
              <w:t>3</w:t>
            </w:r>
            <w:r>
              <w:rPr>
                <w:rFonts w:hint="eastAsia" w:ascii="仿宋_GB2312" w:hAnsi="仿宋" w:eastAsia="仿宋_GB2312" w:cs="仿宋"/>
                <w:bCs/>
                <w:color w:val="000000"/>
                <w:sz w:val="24"/>
              </w:rPr>
              <w:t>%</w:t>
            </w:r>
          </w:p>
        </w:tc>
        <w:tc>
          <w:tcPr>
            <w:tcW w:w="1596" w:type="dxa"/>
            <w:vAlign w:val="center"/>
          </w:tcPr>
          <w:p>
            <w:pPr>
              <w:jc w:val="center"/>
              <w:rPr>
                <w:rFonts w:ascii="仿宋_GB2312" w:hAnsi="仿宋" w:eastAsia="仿宋_GB2312"/>
                <w:color w:val="000000"/>
                <w:sz w:val="24"/>
              </w:rPr>
            </w:pPr>
            <w:r>
              <w:rPr>
                <w:rFonts w:hint="eastAsia" w:ascii="仿宋_GB2312" w:hAnsi="仿宋" w:eastAsia="仿宋_GB2312" w:cs="仿宋"/>
                <w:bCs/>
                <w:color w:val="000000"/>
                <w:sz w:val="24"/>
              </w:rPr>
              <w:t>主观性评分</w:t>
            </w:r>
          </w:p>
        </w:tc>
      </w:tr>
    </w:tbl>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（三）成绩复核与公布</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2．竞赛成绩经复核无误后，由项目裁判长、总裁判长、监督人员审核签字后确定。竞赛成绩通过赛场显示屏和网络直播等方式进行实时公布。若有异议，经过规定程序仲裁后，按照仲裁结果公布比赛成绩。</w:t>
      </w:r>
    </w:p>
    <w:p>
      <w:pPr>
        <w:pStyle w:val="38"/>
        <w:keepNext/>
        <w:ind w:firstLine="643" w:firstLineChars="200"/>
        <w:jc w:val="both"/>
        <w:rPr>
          <w:rFonts w:hint="eastAsia"/>
          <w:b/>
          <w:bCs/>
          <w:sz w:val="32"/>
          <w:szCs w:val="32"/>
        </w:rPr>
      </w:pPr>
      <w:r>
        <w:rPr>
          <w:rFonts w:hint="eastAsia"/>
          <w:b/>
          <w:bCs/>
          <w:sz w:val="32"/>
          <w:szCs w:val="32"/>
        </w:rPr>
        <w:t>十二、赛场预案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预案是赛项筹备和运行工作的核心问题，应当遵循居安思危、科学前瞻、以人为本、高效实用的指导方针，坚持整体考虑、统一指挥，逐级负责，建立职责明确、分工协作、规范有序、资源统筹、信息共享、反应迅速的工作机制保障比赛顺利进行。因此本赛项将成立紧急预案小组，负责赛场突发事件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（一）场地电力预案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场地接入两根总电缆，每个工位上设置空气开关及漏电保护，同时赛场外借调一台发电车，保障赛场安全用电。若赛场供电系统出现故障，导致无法继续进行比赛，由裁判长宣布竞赛暂停，参赛选手在现场裁判的组织下进入工位间的疏散通道待命，赛场由应急发电车恢复供电后，现场技术人员确认所有技术平台完好，选手回到赛位继续完成竞赛任务，耽误的竞赛时间给予补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（二）场地网络预案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赛场需要网络环境进行选手最终成绩提交，预备备用交换机防止网络瘫痪，同时预备U盘，为单点故障工位提交成绩，以此保障无论是否出现网络问题，都可以保障每个参赛队伍都能提交成绩。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（三）竞赛器材预案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式开赛后前30分钟内若有赛位出现软件运行故障、工作台供电、仪器仪表故障，现场技术人员进入竞赛赛位，对软件、工作台、仪器仪表进行维护，视故障的情况，给予更换电脑、仪器仪表，耽误的竞赛时间给予补时。</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（四）紧急疏散预案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设置消防通道，通道宽度不小于1m。赛场四周墙壁每隔5m悬挂一个干粉灭火器。赛点停放一台消防车待命。如发生火灾立即组织赛场所有人员按照疏散指示标志、安全通道、安全出口有序、迅速撤离现场，设置警戒线，维持现场秩序。报告大赛执委会，评估事故的严重程度是否作出停赛决定。如继续比赛，耽误的竞赛时间给予补时。</w:t>
      </w:r>
    </w:p>
    <w:p>
      <w:pPr>
        <w:pStyle w:val="38"/>
        <w:keepNext/>
        <w:ind w:firstLine="643" w:firstLineChars="200"/>
        <w:jc w:val="both"/>
        <w:rPr>
          <w:rFonts w:hint="eastAsia"/>
          <w:b/>
          <w:bCs/>
          <w:sz w:val="32"/>
          <w:szCs w:val="32"/>
        </w:rPr>
      </w:pPr>
      <w:r>
        <w:rPr>
          <w:rFonts w:hint="eastAsia"/>
          <w:b/>
          <w:bCs/>
          <w:sz w:val="32"/>
          <w:szCs w:val="32"/>
        </w:rPr>
        <w:t>十三、赛项安全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赛事安全是技能竞赛一切工作顺利开展的先决条件，是赛事筹备和运行工作必须考虑的核心问题。赛项执委会采取切实有效措施保证大赛期间参赛选手、裁判员、工作人员及观众的人身安全。</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bookmarkStart w:id="0" w:name="_Toc361563584"/>
      <w:r>
        <w:rPr>
          <w:rFonts w:hint="eastAsia" w:ascii="仿宋_GB2312" w:hAnsi="仿宋_GB2312" w:eastAsia="仿宋_GB2312" w:cs="仿宋_GB2312"/>
          <w:sz w:val="32"/>
          <w:szCs w:val="32"/>
        </w:rPr>
        <w:t>（一）比赛环境</w:t>
      </w:r>
      <w:bookmarkEnd w:id="0"/>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赛场周围要设立警戒线，防止无关人员进入发生意外事件。比赛现场内应参照相关职业岗位的要求为选手提供必要的劳动保护。在具有危险性的操作环节，裁判员要严防选手出现错误操作。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承办单位应提供保证应急预案实施的条件。对于比赛内容涉及高空作业、可能有坠物、大用电量、易发生火灾等情况的赛项，必须明确制度和预案，并配备急救人员与设施。</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执委会须会同承办单位制定开放赛场和体验区的人员疏导方案。赛场环境中存在人员密集、车流人流交错的区域，除了设置齐全的指示标志外，须增加引导人员，并开辟备用通道。</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大赛期间，承办单位须在赛场管理的关键岗位，增加力量，建立安全管理日志。</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bookmarkStart w:id="1" w:name="_Toc361563586"/>
      <w:r>
        <w:rPr>
          <w:rFonts w:hint="eastAsia" w:ascii="仿宋_GB2312" w:hAnsi="仿宋_GB2312" w:eastAsia="仿宋_GB2312" w:cs="仿宋_GB2312"/>
          <w:sz w:val="32"/>
          <w:szCs w:val="32"/>
        </w:rPr>
        <w:t>（二）组队责任</w:t>
      </w:r>
      <w:bookmarkEnd w:id="1"/>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1.各学校组织代表队时，须安排为参赛选手购买大赛期间的人身意外伤害保险。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2.各学校代表队组成后，须制定相关管理制度，并对所有选手进行安全教育。</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3.各参赛队伍须加强对参与比赛人员的安全管理，实现与赛场安全管理的对接。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bookmarkStart w:id="2" w:name="_Toc361563587"/>
      <w:r>
        <w:rPr>
          <w:rFonts w:hint="eastAsia" w:ascii="仿宋_GB2312" w:hAnsi="仿宋_GB2312" w:eastAsia="仿宋_GB2312" w:cs="仿宋_GB2312"/>
          <w:sz w:val="32"/>
          <w:szCs w:val="32"/>
        </w:rPr>
        <w:t>（三）应急处理</w:t>
      </w:r>
      <w:bookmarkEnd w:id="2"/>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bookmarkStart w:id="3" w:name="_Toc361563588"/>
      <w:r>
        <w:rPr>
          <w:rFonts w:hint="eastAsia" w:ascii="仿宋_GB2312" w:hAnsi="仿宋_GB2312" w:eastAsia="仿宋_GB2312" w:cs="仿宋_GB2312"/>
          <w:sz w:val="32"/>
          <w:szCs w:val="32"/>
        </w:rPr>
        <w:t>（四）处罚措施</w:t>
      </w:r>
      <w:bookmarkEnd w:id="3"/>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1.因参赛队伍原因造成重大安全事故的，取消其获奖资格。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2.参赛队伍有发生重大安全事故隐患，经赛场工作人员提示、警告无效的，可取消其继续比赛的资格。</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3.赛事工作人员违规的，按照相应的制度追究责任。情节恶劣并造成重大安全事故的，由司法机关追究相应法律责任。</w:t>
      </w:r>
    </w:p>
    <w:p>
      <w:pPr>
        <w:pStyle w:val="38"/>
        <w:keepNext/>
        <w:ind w:firstLine="643" w:firstLineChars="200"/>
        <w:jc w:val="both"/>
        <w:rPr>
          <w:rFonts w:hint="eastAsia"/>
          <w:b/>
          <w:bCs/>
          <w:sz w:val="32"/>
          <w:szCs w:val="32"/>
        </w:rPr>
      </w:pPr>
      <w:r>
        <w:rPr>
          <w:rFonts w:hint="eastAsia"/>
          <w:b/>
          <w:bCs/>
          <w:sz w:val="32"/>
          <w:szCs w:val="32"/>
        </w:rPr>
        <w:t>十四、竞赛须知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（一）参赛队须知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1.参赛队名称：统一使用规定的地区代表队名称，不使用学校或其他组织、团体的名称。</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2.参赛队选手报名获得确认后不得随意更换。如备赛过程中参赛队选手因故无法参赛，须由省级教育行政部门于相应赛项开赛10个工作日之前出具书面说明，经大赛执委会办公室核实后予以更换。</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3.符合下列情形之一的参赛选手，经裁判组裁定后中止其竞赛: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（1）不服从裁判员/监考员管理、扰乱赛场秩序、干扰其他参赛队选手比赛，裁判员应提出警告，二次警告后无效，或情节特别严重，造成竞赛中止的，经裁判长确认，终止比赛，并取消比赛资格和竞赛成绩。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（2）竞赛过程中，由于选手技能不熟练或疏忽大意造成计算机、仪器设备及工具等严重损坏，由裁判组裁定其竞赛结束，保留竞赛资格，累计其有效竞赛成绩。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（3）竞赛过程中，产生重大安全事故、或有产生重大安全事故隐患，经裁判员提示没有采取措施的，裁判员可暂停其竞赛，由裁判组裁定其竞赛结束，保留竞赛资格和有效竞赛成绩。</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（二）领队须知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1.各参赛代表队要发扬良好道德风尚，听从指挥，服从裁判，不弄虚作假。如发现弄虚作假者，取消参赛资格，名次无效。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2.各代表队领队要坚决执行竞赛的各项规定，加强对参赛人员的管理，做好赛前准备工作，督促选手带好证件等竞赛相关材料。</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3.竞赛过程中，除参加当场次竞赛的选手、执行裁判员、现场工作人员和经批准的人员外，领队及其他人员一律不得进入竞赛现场。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4.参赛代表队若对竞赛过程有异议，在规定的时间内由领队向赛项仲裁工作组提出书面报告。</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5.对申诉的仲裁结果，领队要带头服从和执行，并做好选手工作。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6.指导老师应及时查看大赛专用网页有关赛项的通知和内容，认真研究和掌握本赛项竞赛的规程、技术规范和赛场要求，指导选手做好赛前的一切技术准备和竞赛准备。</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（三）参赛选手须知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1.参赛队选手严格遵守赛场规章、操作规程和工艺准则，保证人身及设备安全，接受裁判员的监督和警示，文明竞赛。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参赛选手需同时携带身份证、参赛证入场，进行检录，抽取顺序号后，须将所有证件交给领队，不得带入赛场。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3.参赛选手进入赛场，不许携带任何书籍和其他纸质资料（相关技术资料的电子文档由赛项执委会提供），不许携带通信工具和存储介质（如U盘），不许携带任何检测设备和工具。</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4.参赛队选手应在规定的时间段进入赛场熟悉环境，入场后，赛场工作人员与参赛选手共同确认操作条件及设备状况。</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5.竞赛时，在收到开赛信号前不得启动操作，参赛队选手按竞赛要求自行决定工作程序和时间安排，在指定赛位上完成竞赛项目，严禁作弊行为。</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6.竞赛过程中，因严重操作失误或安全事故不能进行比赛的（例如因操作原因发生短路导致赛场断电的、造成设备不能正常工作的），现场裁判员有权终止该队比赛。</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7.竞赛期间，参赛队选手连续工作，饮水由赛场统一提供，且休息、饮水和如厕时间均计算在比赛时间内。</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8.凡在竞赛期间内提前离开的参赛队选手，不得返回赛场。参赛队选手进出赛场不得携带任何与竞赛有关的物品。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9.在参赛期间，选手应注意保持工作环境及设备摆放符合生产操作规程。</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10.在竞赛中如遇非人为因素造成的设备故障，经裁判确认后，可向裁判长申请补足排除故障的时间。</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11.结束比赛后，选手不得再进行任何与比赛有关的操作。须根据现场裁判的指示进行板卡维修结果以及竞赛报告单的提交，在与现场裁判一起签字确认后方可离开赛位。</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12.因保密要求，各参赛队选手需按照大赛要求和赛题要求提交竞赛成果，且提交的任何文件中不得出现单位名称、参赛者姓名、与竞赛无关的记号等违规信息，否则按照作弊处理。</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（四）工作人员须知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1.赛场工作人员由赛项执委会统一聘用并进行工作分工。</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2.赛场工作人员需服从赛项执委会的管理，严格执行赛项执委会制订的各项比赛规则，执行赛项执委会的工作安排，为赛场提供有序的服务。</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3.赛场工作人员要积极维护好赛场秩序，以利于参赛选手正常发挥水平。</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4.赛场工作人员要坚守岗位，不得擅离职守。</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5.赛场工作人员在比赛中不回答选手提出的任何有关比赛技术问题，如遇争议问题，需上报执委会。</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6.工作人员要着赛项执委会统一提供的服装并佩戴胸卡。</w:t>
      </w:r>
    </w:p>
    <w:p>
      <w:pPr>
        <w:pStyle w:val="38"/>
        <w:keepNext/>
        <w:ind w:firstLine="643" w:firstLineChars="200"/>
        <w:jc w:val="both"/>
        <w:rPr>
          <w:rFonts w:hint="eastAsia"/>
          <w:b/>
          <w:bCs/>
          <w:sz w:val="32"/>
          <w:szCs w:val="32"/>
        </w:rPr>
      </w:pPr>
      <w:r>
        <w:rPr>
          <w:rFonts w:hint="eastAsia"/>
          <w:b/>
          <w:bCs/>
          <w:sz w:val="32"/>
          <w:szCs w:val="32"/>
        </w:rPr>
        <w:t>十五、申诉与仲裁</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参赛队对不符合大赛和赛项规程规定的仪器、设备、工装、材料、物件、计算机软硬件、竞赛使用工具、用品，竞赛执裁、赛场管理，以及工作人员的不规范行为等，可向赛项仲裁组提出申诉。申诉主体为参赛队领队。参赛队领队可在比赛结束后（选手赛场比赛内容全部完成）2小时之内向仲裁组提出书面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书面申诉应对申诉事件的现象、发生时间、涉及人员、申诉依据等进行充分、实事求是的叙述，并由领队亲笔签名。非书面申诉不予受理。 </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仲裁结果由申诉人签收，不能代收，如在约定时间和地点申诉人离开，视为自行放弃申诉。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申诉方可随时提出放弃申诉。</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申诉方不得以任何理由采取过激行为扰乱赛场秩序。</w:t>
      </w:r>
    </w:p>
    <w:p>
      <w:pPr>
        <w:pStyle w:val="6"/>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b/>
        <w:color w:val="FF0000"/>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102C1"/>
    <w:rsid w:val="00015CB6"/>
    <w:rsid w:val="00017DF8"/>
    <w:rsid w:val="00021A5A"/>
    <w:rsid w:val="000456B5"/>
    <w:rsid w:val="00051337"/>
    <w:rsid w:val="00073559"/>
    <w:rsid w:val="000A3E2F"/>
    <w:rsid w:val="000B6F4A"/>
    <w:rsid w:val="000C1EDE"/>
    <w:rsid w:val="00101AFC"/>
    <w:rsid w:val="0013149C"/>
    <w:rsid w:val="001331DA"/>
    <w:rsid w:val="001334EB"/>
    <w:rsid w:val="0019150A"/>
    <w:rsid w:val="001E0EB0"/>
    <w:rsid w:val="001E1D51"/>
    <w:rsid w:val="001E666D"/>
    <w:rsid w:val="001E7A46"/>
    <w:rsid w:val="0020405A"/>
    <w:rsid w:val="002601DE"/>
    <w:rsid w:val="00274B80"/>
    <w:rsid w:val="002A312A"/>
    <w:rsid w:val="002B3D04"/>
    <w:rsid w:val="002C020D"/>
    <w:rsid w:val="002C2ABB"/>
    <w:rsid w:val="002D4A21"/>
    <w:rsid w:val="002F4136"/>
    <w:rsid w:val="002F4B72"/>
    <w:rsid w:val="002F7B4D"/>
    <w:rsid w:val="003321A6"/>
    <w:rsid w:val="003362F0"/>
    <w:rsid w:val="00367867"/>
    <w:rsid w:val="00380BB1"/>
    <w:rsid w:val="003B0EE4"/>
    <w:rsid w:val="003B42C1"/>
    <w:rsid w:val="003C542C"/>
    <w:rsid w:val="003E04AC"/>
    <w:rsid w:val="003F61DB"/>
    <w:rsid w:val="0040263B"/>
    <w:rsid w:val="00423679"/>
    <w:rsid w:val="0044459C"/>
    <w:rsid w:val="00484351"/>
    <w:rsid w:val="00491D89"/>
    <w:rsid w:val="004A200C"/>
    <w:rsid w:val="004D3E17"/>
    <w:rsid w:val="004F20E5"/>
    <w:rsid w:val="004F5AF6"/>
    <w:rsid w:val="00504379"/>
    <w:rsid w:val="005216DE"/>
    <w:rsid w:val="00564B9E"/>
    <w:rsid w:val="00575D8B"/>
    <w:rsid w:val="00580C23"/>
    <w:rsid w:val="005965EC"/>
    <w:rsid w:val="005C549F"/>
    <w:rsid w:val="005C6FF0"/>
    <w:rsid w:val="005F72CB"/>
    <w:rsid w:val="00645820"/>
    <w:rsid w:val="0064644A"/>
    <w:rsid w:val="00682311"/>
    <w:rsid w:val="006C094E"/>
    <w:rsid w:val="006D39E5"/>
    <w:rsid w:val="006E10AF"/>
    <w:rsid w:val="00717EDD"/>
    <w:rsid w:val="00751655"/>
    <w:rsid w:val="00761CD9"/>
    <w:rsid w:val="007874A5"/>
    <w:rsid w:val="007C7E62"/>
    <w:rsid w:val="007D336F"/>
    <w:rsid w:val="00805348"/>
    <w:rsid w:val="00805885"/>
    <w:rsid w:val="008133BC"/>
    <w:rsid w:val="0084006A"/>
    <w:rsid w:val="00841F21"/>
    <w:rsid w:val="0084337A"/>
    <w:rsid w:val="00872E49"/>
    <w:rsid w:val="00881A01"/>
    <w:rsid w:val="008A09C8"/>
    <w:rsid w:val="008A26E6"/>
    <w:rsid w:val="008B6C13"/>
    <w:rsid w:val="008B709F"/>
    <w:rsid w:val="008F4457"/>
    <w:rsid w:val="00901692"/>
    <w:rsid w:val="00913080"/>
    <w:rsid w:val="0091512B"/>
    <w:rsid w:val="00947244"/>
    <w:rsid w:val="00986555"/>
    <w:rsid w:val="00991D0A"/>
    <w:rsid w:val="009D4606"/>
    <w:rsid w:val="009D7D7A"/>
    <w:rsid w:val="009F293A"/>
    <w:rsid w:val="00A073EC"/>
    <w:rsid w:val="00A12485"/>
    <w:rsid w:val="00A3523B"/>
    <w:rsid w:val="00AD454D"/>
    <w:rsid w:val="00AE22B3"/>
    <w:rsid w:val="00B102C1"/>
    <w:rsid w:val="00B733C3"/>
    <w:rsid w:val="00BA563C"/>
    <w:rsid w:val="00BD54A9"/>
    <w:rsid w:val="00BE50E1"/>
    <w:rsid w:val="00BE6F57"/>
    <w:rsid w:val="00C00FBB"/>
    <w:rsid w:val="00C41055"/>
    <w:rsid w:val="00C458C6"/>
    <w:rsid w:val="00C85B5D"/>
    <w:rsid w:val="00CC2E5F"/>
    <w:rsid w:val="00CC6875"/>
    <w:rsid w:val="00CE0D4B"/>
    <w:rsid w:val="00D03EC4"/>
    <w:rsid w:val="00D22D10"/>
    <w:rsid w:val="00D66838"/>
    <w:rsid w:val="00D805C1"/>
    <w:rsid w:val="00DA73A0"/>
    <w:rsid w:val="00DC50CF"/>
    <w:rsid w:val="00DE6D37"/>
    <w:rsid w:val="00E11476"/>
    <w:rsid w:val="00E3098B"/>
    <w:rsid w:val="00E31F6B"/>
    <w:rsid w:val="00E600AC"/>
    <w:rsid w:val="00E6777D"/>
    <w:rsid w:val="00E83A28"/>
    <w:rsid w:val="00EA7C03"/>
    <w:rsid w:val="00ED301C"/>
    <w:rsid w:val="00EE27E9"/>
    <w:rsid w:val="00EF3557"/>
    <w:rsid w:val="00F16D99"/>
    <w:rsid w:val="00F22FE6"/>
    <w:rsid w:val="00F721FD"/>
    <w:rsid w:val="00F93C1E"/>
    <w:rsid w:val="00FB1FC8"/>
    <w:rsid w:val="00FB26A2"/>
    <w:rsid w:val="00FB5FC1"/>
    <w:rsid w:val="00FD1E26"/>
    <w:rsid w:val="02BC2024"/>
    <w:rsid w:val="07D24516"/>
    <w:rsid w:val="0AC63759"/>
    <w:rsid w:val="0BE43F62"/>
    <w:rsid w:val="0D74464D"/>
    <w:rsid w:val="0DA808D1"/>
    <w:rsid w:val="0DAA5B77"/>
    <w:rsid w:val="0F275142"/>
    <w:rsid w:val="0FE16897"/>
    <w:rsid w:val="10CA5D1E"/>
    <w:rsid w:val="11CA13C3"/>
    <w:rsid w:val="137E5879"/>
    <w:rsid w:val="15922A6A"/>
    <w:rsid w:val="18C732C3"/>
    <w:rsid w:val="19033144"/>
    <w:rsid w:val="19211014"/>
    <w:rsid w:val="1D6B2F80"/>
    <w:rsid w:val="1EA15E3D"/>
    <w:rsid w:val="203557B1"/>
    <w:rsid w:val="25BD7AC6"/>
    <w:rsid w:val="26B13784"/>
    <w:rsid w:val="26E3087E"/>
    <w:rsid w:val="2A93745C"/>
    <w:rsid w:val="2D042CE4"/>
    <w:rsid w:val="2D1D708C"/>
    <w:rsid w:val="2EA565E4"/>
    <w:rsid w:val="32215054"/>
    <w:rsid w:val="347A63BD"/>
    <w:rsid w:val="38675814"/>
    <w:rsid w:val="387F6690"/>
    <w:rsid w:val="38C2023D"/>
    <w:rsid w:val="3A9E7C90"/>
    <w:rsid w:val="3EE476A6"/>
    <w:rsid w:val="3F24273E"/>
    <w:rsid w:val="4537102E"/>
    <w:rsid w:val="461E1D5A"/>
    <w:rsid w:val="46346ED1"/>
    <w:rsid w:val="484B564D"/>
    <w:rsid w:val="499E1DC0"/>
    <w:rsid w:val="4A6772B4"/>
    <w:rsid w:val="4B5B50D1"/>
    <w:rsid w:val="4BBD1B0E"/>
    <w:rsid w:val="4C5C2D56"/>
    <w:rsid w:val="4D2432B3"/>
    <w:rsid w:val="5149641D"/>
    <w:rsid w:val="52C05BFA"/>
    <w:rsid w:val="53044424"/>
    <w:rsid w:val="539851E6"/>
    <w:rsid w:val="548D09A6"/>
    <w:rsid w:val="57E36B06"/>
    <w:rsid w:val="59EE191A"/>
    <w:rsid w:val="5B5338B5"/>
    <w:rsid w:val="5C1A54F5"/>
    <w:rsid w:val="5C9553B1"/>
    <w:rsid w:val="5F961E59"/>
    <w:rsid w:val="5F986625"/>
    <w:rsid w:val="62CD11ED"/>
    <w:rsid w:val="635942CF"/>
    <w:rsid w:val="66122408"/>
    <w:rsid w:val="679A5FF5"/>
    <w:rsid w:val="691E1B22"/>
    <w:rsid w:val="69C61B00"/>
    <w:rsid w:val="6A6D6C63"/>
    <w:rsid w:val="6B736110"/>
    <w:rsid w:val="6B8F0909"/>
    <w:rsid w:val="6BA44DCC"/>
    <w:rsid w:val="6E001F0D"/>
    <w:rsid w:val="6E6C464A"/>
    <w:rsid w:val="6F58399A"/>
    <w:rsid w:val="714C3062"/>
    <w:rsid w:val="72A07EDF"/>
    <w:rsid w:val="72B909BA"/>
    <w:rsid w:val="741C7EB1"/>
    <w:rsid w:val="773A762D"/>
    <w:rsid w:val="77C878B2"/>
    <w:rsid w:val="7B134A81"/>
    <w:rsid w:val="7B247AE3"/>
    <w:rsid w:val="7BE01577"/>
    <w:rsid w:val="7BE102D4"/>
    <w:rsid w:val="7C832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2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6"/>
    <w:qFormat/>
    <w:uiPriority w:val="9"/>
    <w:pPr>
      <w:keepNext/>
      <w:keepLines/>
      <w:spacing w:before="340" w:after="330" w:line="576" w:lineRule="auto"/>
      <w:outlineLvl w:val="0"/>
    </w:pPr>
    <w:rPr>
      <w:b/>
      <w:kern w:val="44"/>
      <w:sz w:val="44"/>
    </w:rPr>
  </w:style>
  <w:style w:type="paragraph" w:styleId="3">
    <w:name w:val="heading 2"/>
    <w:basedOn w:val="1"/>
    <w:next w:val="1"/>
    <w:link w:val="23"/>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qFormat/>
    <w:uiPriority w:val="9"/>
    <w:pPr>
      <w:keepNext/>
      <w:keepLines/>
      <w:spacing w:before="280" w:after="290" w:line="376" w:lineRule="auto"/>
      <w:outlineLvl w:val="3"/>
    </w:pPr>
    <w:rPr>
      <w:rFonts w:ascii="Cambria" w:hAnsi="Cambria"/>
      <w:b/>
      <w:bCs/>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Normal Indent"/>
    <w:basedOn w:val="1"/>
    <w:semiHidden/>
    <w:uiPriority w:val="0"/>
    <w:pPr>
      <w:ind w:firstLine="420"/>
    </w:pPr>
    <w:rPr>
      <w:szCs w:val="20"/>
    </w:rPr>
  </w:style>
  <w:style w:type="paragraph" w:styleId="7">
    <w:name w:val="Document Map"/>
    <w:basedOn w:val="1"/>
    <w:link w:val="28"/>
    <w:semiHidden/>
    <w:unhideWhenUsed/>
    <w:qFormat/>
    <w:uiPriority w:val="99"/>
    <w:rPr>
      <w:rFonts w:ascii="宋体"/>
      <w:kern w:val="0"/>
      <w:sz w:val="18"/>
      <w:szCs w:val="18"/>
    </w:rPr>
  </w:style>
  <w:style w:type="paragraph" w:styleId="8">
    <w:name w:val="annotation text"/>
    <w:basedOn w:val="1"/>
    <w:link w:val="29"/>
    <w:unhideWhenUsed/>
    <w:qFormat/>
    <w:uiPriority w:val="99"/>
    <w:pPr>
      <w:jc w:val="left"/>
    </w:pPr>
    <w:rPr>
      <w:szCs w:val="22"/>
    </w:rPr>
  </w:style>
  <w:style w:type="paragraph" w:styleId="9">
    <w:name w:val="toc 3"/>
    <w:basedOn w:val="1"/>
    <w:next w:val="1"/>
    <w:qFormat/>
    <w:uiPriority w:val="39"/>
    <w:pPr>
      <w:ind w:left="840" w:leftChars="400"/>
    </w:pPr>
    <w:rPr>
      <w:szCs w:val="22"/>
    </w:rPr>
  </w:style>
  <w:style w:type="paragraph" w:styleId="10">
    <w:name w:val="Date"/>
    <w:basedOn w:val="1"/>
    <w:next w:val="1"/>
    <w:link w:val="37"/>
    <w:semiHidden/>
    <w:unhideWhenUsed/>
    <w:qFormat/>
    <w:uiPriority w:val="99"/>
    <w:pPr>
      <w:ind w:left="100" w:leftChars="2500"/>
    </w:pPr>
    <w:rPr>
      <w:szCs w:val="22"/>
    </w:rPr>
  </w:style>
  <w:style w:type="paragraph" w:styleId="11">
    <w:name w:val="Balloon Text"/>
    <w:basedOn w:val="1"/>
    <w:link w:val="21"/>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kern w:val="0"/>
      <w:sz w:val="18"/>
      <w:szCs w:val="18"/>
    </w:rPr>
  </w:style>
  <w:style w:type="paragraph" w:styleId="13">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rPr>
      <w:szCs w:val="22"/>
    </w:rPr>
  </w:style>
  <w:style w:type="paragraph" w:styleId="15">
    <w:name w:val="annotation subject"/>
    <w:basedOn w:val="8"/>
    <w:next w:val="8"/>
    <w:link w:val="30"/>
    <w:semiHidden/>
    <w:unhideWhenUsed/>
    <w:qFormat/>
    <w:uiPriority w:val="99"/>
    <w:rPr>
      <w:b/>
      <w:bCs/>
      <w:kern w:val="0"/>
      <w:sz w:val="20"/>
      <w:szCs w:val="20"/>
    </w:rPr>
  </w:style>
  <w:style w:type="table" w:styleId="17">
    <w:name w:val="Table Grid"/>
    <w:basedOn w:val="1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Hyperlink"/>
    <w:qFormat/>
    <w:uiPriority w:val="99"/>
    <w:rPr>
      <w:color w:val="0000FF"/>
      <w:u w:val="single"/>
    </w:rPr>
  </w:style>
  <w:style w:type="character" w:styleId="20">
    <w:name w:val="annotation reference"/>
    <w:unhideWhenUsed/>
    <w:qFormat/>
    <w:uiPriority w:val="99"/>
    <w:rPr>
      <w:sz w:val="21"/>
      <w:szCs w:val="21"/>
    </w:rPr>
  </w:style>
  <w:style w:type="character" w:customStyle="1" w:styleId="21">
    <w:name w:val="批注框文本 字符"/>
    <w:basedOn w:val="18"/>
    <w:link w:val="11"/>
    <w:semiHidden/>
    <w:qFormat/>
    <w:uiPriority w:val="99"/>
    <w:rPr>
      <w:rFonts w:ascii="Calibri" w:hAnsi="Calibri" w:eastAsia="宋体" w:cs="Times New Roman"/>
      <w:kern w:val="2"/>
      <w:sz w:val="18"/>
      <w:szCs w:val="18"/>
    </w:rPr>
  </w:style>
  <w:style w:type="character" w:customStyle="1" w:styleId="22">
    <w:name w:val="标题 3 字符"/>
    <w:basedOn w:val="18"/>
    <w:link w:val="4"/>
    <w:semiHidden/>
    <w:qFormat/>
    <w:uiPriority w:val="9"/>
    <w:rPr>
      <w:rFonts w:ascii="Calibri" w:hAnsi="Calibri" w:eastAsia="宋体" w:cs="Times New Roman"/>
      <w:b/>
      <w:bCs/>
      <w:kern w:val="2"/>
      <w:sz w:val="32"/>
      <w:szCs w:val="32"/>
    </w:rPr>
  </w:style>
  <w:style w:type="character" w:customStyle="1" w:styleId="23">
    <w:name w:val="标题 2 字符"/>
    <w:basedOn w:val="18"/>
    <w:link w:val="3"/>
    <w:qFormat/>
    <w:uiPriority w:val="9"/>
    <w:rPr>
      <w:rFonts w:ascii="Cambria" w:hAnsi="Cambria" w:eastAsia="宋体" w:cs="Times New Roman"/>
      <w:b/>
      <w:bCs/>
      <w:sz w:val="32"/>
      <w:szCs w:val="32"/>
    </w:rPr>
  </w:style>
  <w:style w:type="character" w:customStyle="1" w:styleId="24">
    <w:name w:val="标题 4 字符"/>
    <w:basedOn w:val="18"/>
    <w:link w:val="5"/>
    <w:qFormat/>
    <w:uiPriority w:val="9"/>
    <w:rPr>
      <w:rFonts w:ascii="Cambria" w:hAnsi="Cambria" w:eastAsia="宋体" w:cs="Times New Roman"/>
      <w:b/>
      <w:bCs/>
      <w:sz w:val="28"/>
      <w:szCs w:val="28"/>
    </w:rPr>
  </w:style>
  <w:style w:type="paragraph" w:styleId="25">
    <w:name w:val="List Paragraph"/>
    <w:basedOn w:val="1"/>
    <w:qFormat/>
    <w:uiPriority w:val="34"/>
    <w:pPr>
      <w:ind w:firstLine="420" w:firstLineChars="200"/>
    </w:pPr>
    <w:rPr>
      <w:szCs w:val="22"/>
    </w:rPr>
  </w:style>
  <w:style w:type="character" w:customStyle="1" w:styleId="26">
    <w:name w:val="页眉 字符"/>
    <w:basedOn w:val="18"/>
    <w:link w:val="13"/>
    <w:qFormat/>
    <w:uiPriority w:val="99"/>
    <w:rPr>
      <w:rFonts w:ascii="Calibri" w:hAnsi="Calibri" w:eastAsia="宋体" w:cs="Times New Roman"/>
      <w:sz w:val="18"/>
      <w:szCs w:val="18"/>
    </w:rPr>
  </w:style>
  <w:style w:type="character" w:customStyle="1" w:styleId="27">
    <w:name w:val="页脚 字符"/>
    <w:basedOn w:val="18"/>
    <w:link w:val="12"/>
    <w:qFormat/>
    <w:uiPriority w:val="99"/>
    <w:rPr>
      <w:rFonts w:ascii="Calibri" w:hAnsi="Calibri" w:eastAsia="宋体" w:cs="Times New Roman"/>
      <w:sz w:val="18"/>
      <w:szCs w:val="18"/>
    </w:rPr>
  </w:style>
  <w:style w:type="character" w:customStyle="1" w:styleId="28">
    <w:name w:val="文档结构图 字符"/>
    <w:basedOn w:val="18"/>
    <w:link w:val="7"/>
    <w:semiHidden/>
    <w:qFormat/>
    <w:uiPriority w:val="99"/>
    <w:rPr>
      <w:rFonts w:ascii="宋体" w:hAnsi="Calibri" w:eastAsia="宋体" w:cs="Times New Roman"/>
      <w:sz w:val="18"/>
      <w:szCs w:val="18"/>
    </w:rPr>
  </w:style>
  <w:style w:type="character" w:customStyle="1" w:styleId="29">
    <w:name w:val="批注文字 字符"/>
    <w:basedOn w:val="18"/>
    <w:link w:val="8"/>
    <w:qFormat/>
    <w:uiPriority w:val="99"/>
    <w:rPr>
      <w:rFonts w:ascii="Calibri" w:hAnsi="Calibri" w:eastAsia="宋体" w:cs="Times New Roman"/>
      <w:kern w:val="2"/>
      <w:sz w:val="21"/>
      <w:szCs w:val="22"/>
    </w:rPr>
  </w:style>
  <w:style w:type="character" w:customStyle="1" w:styleId="30">
    <w:name w:val="批注主题 字符"/>
    <w:basedOn w:val="29"/>
    <w:link w:val="15"/>
    <w:semiHidden/>
    <w:qFormat/>
    <w:uiPriority w:val="99"/>
    <w:rPr>
      <w:rFonts w:ascii="Calibri" w:hAnsi="Calibri" w:eastAsia="宋体" w:cs="Times New Roman"/>
      <w:b/>
      <w:bCs/>
      <w:kern w:val="2"/>
      <w:sz w:val="21"/>
      <w:szCs w:val="22"/>
    </w:rPr>
  </w:style>
  <w:style w:type="table" w:customStyle="1" w:styleId="31">
    <w:name w:val="浅色网格1"/>
    <w:basedOn w:val="16"/>
    <w:qFormat/>
    <w:uiPriority w:val="62"/>
    <w:rPr>
      <w:rFonts w:ascii="Calibri" w:hAnsi="Calibri" w:eastAsia="宋体" w:cs="Times New Roman"/>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宋体" w:cs="Times New Roman"/>
        <w:b/>
        <w:bCs/>
      </w:rPr>
      <w:tcPr>
        <w:tcBorders>
          <w:top w:val="single" w:color="000000" w:sz="8" w:space="0"/>
          <w:left w:val="single" w:color="000000" w:sz="8" w:space="0"/>
          <w:bottom w:val="single" w:color="000000" w:sz="18" w:space="0"/>
          <w:right w:val="single" w:color="000000"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000000" w:sz="8" w:space="0"/>
          <w:left w:val="single" w:color="000000" w:sz="8" w:space="0"/>
          <w:bottom w:val="single" w:color="000000" w:sz="8" w:space="0"/>
          <w:right w:val="single" w:color="000000" w:sz="8" w:space="0"/>
        </w:tcBorders>
      </w:tcPr>
    </w:tblStylePr>
    <w:tblStylePr w:type="band1Vert">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customStyle="1" w:styleId="32">
    <w:name w:val="浅色网格 - 强调文字颜色 11"/>
    <w:basedOn w:val="16"/>
    <w:qFormat/>
    <w:uiPriority w:val="62"/>
    <w:rPr>
      <w:rFonts w:ascii="Calibri" w:hAnsi="Calibri" w:eastAsia="宋体" w:cs="Times New Roman"/>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宋体" w:cs="Times New Roman"/>
        <w:b/>
        <w:bCs/>
      </w:rPr>
      <w:tcPr>
        <w:tcBorders>
          <w:top w:val="single" w:color="4F81BD" w:sz="8" w:space="0"/>
          <w:left w:val="single" w:color="4F81BD" w:sz="8" w:space="0"/>
          <w:bottom w:val="single" w:color="4F81BD" w:sz="18" w:space="0"/>
          <w:right w:val="single" w:color="4F81BD"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F81BD" w:sz="8" w:space="0"/>
          <w:left w:val="single" w:color="4F81BD" w:sz="8" w:space="0"/>
          <w:bottom w:val="single" w:color="4F81BD" w:sz="8" w:space="0"/>
          <w:right w:val="single" w:color="4F81BD" w:sz="8" w:space="0"/>
        </w:tcBorders>
      </w:tcPr>
    </w:tblStylePr>
    <w:tblStylePr w:type="band1Vert">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V w:val="single" w:sz="8" w:space="0"/>
        </w:tcBorders>
      </w:tcPr>
    </w:tblStylePr>
  </w:style>
  <w:style w:type="paragraph" w:customStyle="1" w:styleId="33">
    <w:name w:val="正文(首行缩进)"/>
    <w:basedOn w:val="1"/>
    <w:link w:val="34"/>
    <w:qFormat/>
    <w:uiPriority w:val="0"/>
    <w:pPr>
      <w:widowControl/>
      <w:spacing w:line="300" w:lineRule="auto"/>
      <w:ind w:firstLine="420" w:firstLineChars="200"/>
    </w:pPr>
    <w:rPr>
      <w:rFonts w:ascii="Arial" w:hAnsi="Arial"/>
      <w:kern w:val="0"/>
      <w:sz w:val="20"/>
      <w:szCs w:val="21"/>
    </w:rPr>
  </w:style>
  <w:style w:type="character" w:customStyle="1" w:styleId="34">
    <w:name w:val="正文(首行缩进) Char"/>
    <w:link w:val="33"/>
    <w:qFormat/>
    <w:locked/>
    <w:uiPriority w:val="0"/>
    <w:rPr>
      <w:rFonts w:ascii="Arial" w:hAnsi="Arial" w:eastAsia="宋体" w:cs="Times New Roman"/>
      <w:szCs w:val="21"/>
    </w:rPr>
  </w:style>
  <w:style w:type="paragraph" w:customStyle="1" w:styleId="35">
    <w:name w:val="列出段落1"/>
    <w:basedOn w:val="1"/>
    <w:qFormat/>
    <w:uiPriority w:val="34"/>
    <w:pPr>
      <w:spacing w:line="360" w:lineRule="auto"/>
      <w:ind w:left="720"/>
      <w:contextualSpacing/>
    </w:pPr>
    <w:rPr>
      <w:rFonts w:ascii="Arial" w:hAnsi="Arial"/>
      <w:sz w:val="24"/>
    </w:rPr>
  </w:style>
  <w:style w:type="character" w:customStyle="1" w:styleId="36">
    <w:name w:val="标题 1 字符"/>
    <w:link w:val="2"/>
    <w:qFormat/>
    <w:uiPriority w:val="9"/>
    <w:rPr>
      <w:rFonts w:ascii="Calibri" w:hAnsi="Calibri" w:eastAsia="宋体" w:cs="Times New Roman"/>
      <w:b/>
      <w:kern w:val="44"/>
      <w:sz w:val="44"/>
      <w:szCs w:val="24"/>
    </w:rPr>
  </w:style>
  <w:style w:type="character" w:customStyle="1" w:styleId="37">
    <w:name w:val="日期 字符"/>
    <w:basedOn w:val="18"/>
    <w:link w:val="10"/>
    <w:semiHidden/>
    <w:qFormat/>
    <w:uiPriority w:val="99"/>
    <w:rPr>
      <w:rFonts w:ascii="Calibri" w:hAnsi="Calibri" w:eastAsia="宋体" w:cs="Times New Roman"/>
      <w:kern w:val="2"/>
      <w:sz w:val="21"/>
      <w:szCs w:val="22"/>
    </w:rPr>
  </w:style>
  <w:style w:type="paragraph" w:customStyle="1" w:styleId="38">
    <w:name w:val="样式1"/>
    <w:basedOn w:val="2"/>
    <w:qFormat/>
    <w:uiPriority w:val="0"/>
    <w:pPr>
      <w:adjustRightInd w:val="0"/>
      <w:snapToGrid w:val="0"/>
      <w:spacing w:before="120" w:beforeLines="50" w:after="120" w:afterLines="50" w:line="300" w:lineRule="auto"/>
    </w:pPr>
    <w:rPr>
      <w:rFonts w:ascii="黑体" w:hAnsi="黑体" w:eastAsia="黑体" w:cs="宋体"/>
      <w:b w:val="0"/>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1245</Words>
  <Characters>7101</Characters>
  <Lines>59</Lines>
  <Paragraphs>16</Paragraphs>
  <TotalTime>2</TotalTime>
  <ScaleCrop>false</ScaleCrop>
  <LinksUpToDate>false</LinksUpToDate>
  <CharactersWithSpaces>8330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2019-03-07T02:48:00Z</dcterms:created>
  <dc:creator>Administrator</dc:creator>
  <cp:lastModifiedBy>hp</cp:lastModifiedBy>
  <dcterms:modified xsi:type="dcterms:W3CDTF">2021-03-23T02:40:42Z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DFFF025DCB34499398F58C69603DAE25</vt:lpwstr>
  </property>
</Properties>
</file>