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9D9" w:rsidRDefault="00E779D9">
      <w:pPr>
        <w:pStyle w:val="NormalIndent"/>
        <w:spacing w:line="360" w:lineRule="auto"/>
        <w:ind w:firstLine="0"/>
        <w:jc w:val="center"/>
        <w:rPr>
          <w:rFonts w:ascii="黑体" w:eastAsia="黑体" w:hAnsi="黑体" w:cs="黑体"/>
          <w:b/>
          <w:sz w:val="48"/>
          <w:szCs w:val="48"/>
        </w:rPr>
      </w:pPr>
    </w:p>
    <w:p w:rsidR="00E779D9" w:rsidRDefault="00E779D9">
      <w:pPr>
        <w:pStyle w:val="NormalIndent"/>
        <w:spacing w:line="360" w:lineRule="auto"/>
        <w:ind w:firstLine="0"/>
        <w:jc w:val="center"/>
        <w:rPr>
          <w:rFonts w:ascii="黑体" w:eastAsia="黑体" w:hAnsi="黑体" w:cs="黑体"/>
          <w:b/>
          <w:sz w:val="48"/>
          <w:szCs w:val="48"/>
        </w:rPr>
      </w:pPr>
    </w:p>
    <w:p w:rsidR="00E779D9" w:rsidRDefault="00E779D9">
      <w:pPr>
        <w:pStyle w:val="NormalIndent"/>
        <w:spacing w:line="360" w:lineRule="auto"/>
        <w:ind w:firstLine="0"/>
        <w:jc w:val="center"/>
        <w:rPr>
          <w:rFonts w:ascii="黑体" w:eastAsia="黑体" w:hAnsi="黑体" w:cs="黑体"/>
          <w:b/>
          <w:sz w:val="48"/>
          <w:szCs w:val="48"/>
          <w:lang w:val="zh-CN"/>
        </w:rPr>
      </w:pPr>
      <w:r>
        <w:rPr>
          <w:rFonts w:ascii="黑体" w:eastAsia="黑体" w:hAnsi="黑体" w:cs="黑体"/>
          <w:b/>
          <w:sz w:val="48"/>
          <w:szCs w:val="48"/>
        </w:rPr>
        <w:t>2021</w:t>
      </w:r>
      <w:r>
        <w:rPr>
          <w:rFonts w:ascii="黑体" w:eastAsia="黑体" w:hAnsi="黑体" w:cs="黑体" w:hint="eastAsia"/>
          <w:b/>
          <w:sz w:val="48"/>
          <w:szCs w:val="48"/>
        </w:rPr>
        <w:t>年甘肃省职业院校技能大赛</w:t>
      </w:r>
    </w:p>
    <w:p w:rsidR="00E779D9" w:rsidRDefault="00E779D9">
      <w:pPr>
        <w:jc w:val="center"/>
        <w:rPr>
          <w:rFonts w:ascii="黑体" w:eastAsia="黑体" w:hAnsi="黑体" w:cs="黑体"/>
          <w:b/>
          <w:sz w:val="48"/>
          <w:szCs w:val="48"/>
        </w:rPr>
      </w:pPr>
      <w:r>
        <w:rPr>
          <w:rFonts w:ascii="黑体" w:eastAsia="黑体" w:hAnsi="黑体" w:cs="黑体" w:hint="eastAsia"/>
          <w:b/>
          <w:sz w:val="48"/>
          <w:szCs w:val="48"/>
        </w:rPr>
        <w:t>会计手工技能赛项</w:t>
      </w:r>
      <w:r w:rsidRPr="0077409A">
        <w:rPr>
          <w:rFonts w:ascii="黑体" w:eastAsia="黑体" w:hAnsi="黑体" w:cs="黑体" w:hint="eastAsia"/>
          <w:b/>
          <w:sz w:val="48"/>
          <w:szCs w:val="48"/>
        </w:rPr>
        <w:t>中职学生组</w:t>
      </w:r>
    </w:p>
    <w:p w:rsidR="00E779D9" w:rsidRDefault="00E779D9">
      <w:pPr>
        <w:rPr>
          <w:rFonts w:ascii="黑体" w:eastAsia="黑体" w:hAnsi="黑体" w:cs="黑体"/>
          <w:b/>
          <w:sz w:val="48"/>
          <w:szCs w:val="48"/>
        </w:rPr>
      </w:pPr>
    </w:p>
    <w:p w:rsidR="00E779D9" w:rsidRDefault="00E779D9">
      <w:pPr>
        <w:rPr>
          <w:rFonts w:ascii="黑体" w:eastAsia="黑体" w:hAnsi="黑体" w:cs="黑体"/>
          <w:b/>
          <w:sz w:val="48"/>
          <w:szCs w:val="48"/>
        </w:rPr>
      </w:pPr>
    </w:p>
    <w:p w:rsidR="00E779D9" w:rsidRDefault="00E779D9">
      <w:pPr>
        <w:rPr>
          <w:rFonts w:ascii="黑体" w:eastAsia="黑体" w:hAnsi="黑体" w:cs="黑体"/>
          <w:b/>
          <w:sz w:val="48"/>
          <w:szCs w:val="48"/>
        </w:rPr>
      </w:pPr>
    </w:p>
    <w:p w:rsidR="00E779D9" w:rsidRDefault="00E779D9">
      <w:pPr>
        <w:rPr>
          <w:rFonts w:ascii="黑体" w:eastAsia="黑体" w:hAnsi="黑体" w:cs="黑体"/>
          <w:b/>
          <w:sz w:val="48"/>
          <w:szCs w:val="48"/>
        </w:rPr>
      </w:pPr>
    </w:p>
    <w:p w:rsidR="00E779D9" w:rsidRDefault="00E779D9">
      <w:pPr>
        <w:jc w:val="center"/>
        <w:rPr>
          <w:rFonts w:ascii="黑体" w:eastAsia="黑体" w:hAnsi="黑体" w:cs="黑体"/>
          <w:b/>
          <w:sz w:val="48"/>
          <w:szCs w:val="48"/>
        </w:rPr>
      </w:pPr>
      <w:r>
        <w:rPr>
          <w:rFonts w:ascii="黑体" w:eastAsia="黑体" w:hAnsi="黑体" w:cs="黑体" w:hint="eastAsia"/>
          <w:b/>
          <w:sz w:val="48"/>
          <w:szCs w:val="48"/>
        </w:rPr>
        <w:t>赛</w:t>
      </w:r>
    </w:p>
    <w:p w:rsidR="00E779D9" w:rsidRDefault="00E779D9">
      <w:pPr>
        <w:jc w:val="center"/>
        <w:rPr>
          <w:rFonts w:ascii="黑体" w:eastAsia="黑体" w:hAnsi="黑体" w:cs="黑体"/>
          <w:b/>
          <w:sz w:val="48"/>
          <w:szCs w:val="48"/>
        </w:rPr>
      </w:pPr>
      <w:r>
        <w:rPr>
          <w:rFonts w:ascii="黑体" w:eastAsia="黑体" w:hAnsi="黑体" w:cs="黑体" w:hint="eastAsia"/>
          <w:b/>
          <w:sz w:val="48"/>
          <w:szCs w:val="48"/>
        </w:rPr>
        <w:t>项</w:t>
      </w:r>
    </w:p>
    <w:p w:rsidR="00E779D9" w:rsidRDefault="00E779D9">
      <w:pPr>
        <w:jc w:val="center"/>
        <w:rPr>
          <w:rFonts w:ascii="黑体" w:eastAsia="黑体" w:hAnsi="黑体" w:cs="黑体"/>
          <w:b/>
          <w:sz w:val="48"/>
          <w:szCs w:val="48"/>
        </w:rPr>
      </w:pPr>
      <w:r>
        <w:rPr>
          <w:rFonts w:ascii="黑体" w:eastAsia="黑体" w:hAnsi="黑体" w:cs="黑体" w:hint="eastAsia"/>
          <w:b/>
          <w:sz w:val="48"/>
          <w:szCs w:val="48"/>
        </w:rPr>
        <w:t>规</w:t>
      </w:r>
    </w:p>
    <w:p w:rsidR="00E779D9" w:rsidRDefault="00E779D9">
      <w:pPr>
        <w:jc w:val="center"/>
        <w:rPr>
          <w:rFonts w:ascii="黑体" w:eastAsia="黑体" w:hAnsi="黑体" w:cs="黑体"/>
          <w:b/>
          <w:sz w:val="48"/>
          <w:szCs w:val="48"/>
        </w:rPr>
      </w:pPr>
      <w:r>
        <w:rPr>
          <w:rFonts w:ascii="黑体" w:eastAsia="黑体" w:hAnsi="黑体" w:cs="黑体" w:hint="eastAsia"/>
          <w:b/>
          <w:sz w:val="48"/>
          <w:szCs w:val="48"/>
        </w:rPr>
        <w:t>程</w:t>
      </w:r>
    </w:p>
    <w:p w:rsidR="00E779D9" w:rsidRDefault="00E779D9"/>
    <w:p w:rsidR="00E779D9" w:rsidRDefault="00E779D9"/>
    <w:p w:rsidR="00E779D9" w:rsidRDefault="00E779D9"/>
    <w:p w:rsidR="00E779D9" w:rsidRDefault="00E779D9"/>
    <w:p w:rsidR="00E779D9" w:rsidRDefault="00E779D9"/>
    <w:p w:rsidR="00E779D9" w:rsidRDefault="00E779D9"/>
    <w:p w:rsidR="00E779D9" w:rsidRDefault="00E779D9"/>
    <w:p w:rsidR="00E779D9" w:rsidRDefault="00E779D9"/>
    <w:p w:rsidR="00E779D9" w:rsidRDefault="00E779D9">
      <w:pPr>
        <w:pStyle w:val="NormalIndent"/>
        <w:spacing w:line="360" w:lineRule="auto"/>
        <w:ind w:firstLineChars="250" w:firstLine="904"/>
        <w:jc w:val="center"/>
        <w:rPr>
          <w:b/>
          <w:sz w:val="36"/>
          <w:szCs w:val="36"/>
        </w:rPr>
      </w:pPr>
    </w:p>
    <w:p w:rsidR="00E779D9" w:rsidRDefault="00E779D9">
      <w:pPr>
        <w:pStyle w:val="NormalIndent"/>
        <w:spacing w:line="360" w:lineRule="auto"/>
        <w:ind w:firstLineChars="250" w:firstLine="600"/>
        <w:jc w:val="center"/>
        <w:rPr>
          <w:sz w:val="24"/>
          <w:szCs w:val="24"/>
        </w:rPr>
      </w:pPr>
    </w:p>
    <w:p w:rsidR="00E779D9" w:rsidRDefault="00E779D9">
      <w:pPr>
        <w:pStyle w:val="NormalIndent"/>
        <w:spacing w:line="360" w:lineRule="auto"/>
        <w:ind w:firstLine="0"/>
        <w:jc w:val="center"/>
        <w:sectPr w:rsidR="00E779D9">
          <w:headerReference w:type="default" r:id="rId7"/>
          <w:footerReference w:type="first" r:id="rId8"/>
          <w:pgSz w:w="11910" w:h="16840"/>
          <w:pgMar w:top="1440" w:right="1800" w:bottom="1440" w:left="1800" w:header="0" w:footer="1121" w:gutter="0"/>
          <w:cols w:space="720"/>
          <w:docGrid w:linePitch="286"/>
        </w:sectPr>
      </w:pPr>
      <w:r>
        <w:rPr>
          <w:rFonts w:ascii="黑体" w:eastAsia="黑体" w:hAnsi="黑体" w:cs="黑体" w:hint="eastAsia"/>
          <w:sz w:val="36"/>
          <w:szCs w:val="36"/>
        </w:rPr>
        <w:t>二〇二一年三月</w:t>
      </w:r>
    </w:p>
    <w:p w:rsidR="00E779D9" w:rsidRDefault="00E779D9">
      <w:pPr>
        <w:adjustRightInd w:val="0"/>
        <w:snapToGrid w:val="0"/>
        <w:spacing w:line="560" w:lineRule="exact"/>
        <w:jc w:val="center"/>
        <w:rPr>
          <w:rFonts w:ascii="黑体" w:eastAsia="黑体" w:hAnsi="黑体" w:cs="黑体"/>
          <w:b/>
          <w:bCs/>
          <w:color w:val="000000"/>
          <w:sz w:val="36"/>
          <w:szCs w:val="36"/>
        </w:rPr>
      </w:pPr>
      <w:r>
        <w:rPr>
          <w:rFonts w:ascii="黑体" w:eastAsia="黑体" w:hAnsi="黑体" w:cs="黑体"/>
          <w:b/>
          <w:bCs/>
          <w:sz w:val="36"/>
          <w:szCs w:val="36"/>
        </w:rPr>
        <w:t>2021</w:t>
      </w:r>
      <w:r>
        <w:rPr>
          <w:rFonts w:ascii="黑体" w:eastAsia="黑体" w:hAnsi="黑体" w:cs="黑体" w:hint="eastAsia"/>
          <w:b/>
          <w:bCs/>
          <w:sz w:val="36"/>
          <w:szCs w:val="36"/>
        </w:rPr>
        <w:t>年甘肃省职业院校技能大赛</w:t>
      </w:r>
    </w:p>
    <w:p w:rsidR="00E779D9" w:rsidRDefault="00E779D9">
      <w:pPr>
        <w:adjustRightInd w:val="0"/>
        <w:snapToGrid w:val="0"/>
        <w:spacing w:line="560" w:lineRule="exact"/>
        <w:jc w:val="center"/>
        <w:rPr>
          <w:rFonts w:ascii="黑体" w:eastAsia="黑体" w:hAnsi="黑体" w:cs="黑体"/>
          <w:b/>
          <w:bCs/>
          <w:sz w:val="36"/>
          <w:szCs w:val="36"/>
        </w:rPr>
      </w:pPr>
      <w:r>
        <w:rPr>
          <w:rFonts w:ascii="黑体" w:eastAsia="黑体" w:hAnsi="黑体" w:cs="黑体" w:hint="eastAsia"/>
          <w:b/>
          <w:bCs/>
          <w:sz w:val="36"/>
          <w:szCs w:val="36"/>
        </w:rPr>
        <w:t>会计手工技能赛项</w:t>
      </w:r>
      <w:r>
        <w:rPr>
          <w:rFonts w:ascii="黑体" w:eastAsia="黑体" w:hAnsi="黑体" w:cs="黑体" w:hint="eastAsia"/>
          <w:b/>
          <w:bCs/>
          <w:color w:val="000000"/>
          <w:sz w:val="36"/>
          <w:szCs w:val="36"/>
        </w:rPr>
        <w:t>中职学生组</w:t>
      </w:r>
      <w:r>
        <w:rPr>
          <w:rFonts w:ascii="黑体" w:eastAsia="黑体" w:hAnsi="黑体" w:cs="黑体" w:hint="eastAsia"/>
          <w:b/>
          <w:bCs/>
          <w:sz w:val="36"/>
          <w:szCs w:val="36"/>
        </w:rPr>
        <w:t>赛项规程</w:t>
      </w:r>
    </w:p>
    <w:p w:rsidR="00E779D9" w:rsidRDefault="00E779D9">
      <w:pPr>
        <w:adjustRightInd w:val="0"/>
        <w:snapToGrid w:val="0"/>
        <w:spacing w:line="560" w:lineRule="exact"/>
        <w:jc w:val="center"/>
        <w:rPr>
          <w:rFonts w:ascii="黑体" w:eastAsia="黑体" w:hAnsi="黑体" w:cs="黑体"/>
          <w:b/>
          <w:bCs/>
          <w:sz w:val="36"/>
          <w:szCs w:val="36"/>
        </w:rPr>
      </w:pPr>
    </w:p>
    <w:p w:rsidR="00E779D9" w:rsidRPr="001F7236" w:rsidRDefault="00E779D9" w:rsidP="001F7236">
      <w:pPr>
        <w:pStyle w:val="1"/>
        <w:spacing w:before="156" w:after="156"/>
        <w:ind w:firstLineChars="200" w:firstLine="643"/>
        <w:rPr>
          <w:b/>
          <w:sz w:val="32"/>
          <w:szCs w:val="32"/>
        </w:rPr>
      </w:pPr>
      <w:r w:rsidRPr="001F7236">
        <w:rPr>
          <w:rFonts w:hint="eastAsia"/>
          <w:b/>
          <w:sz w:val="32"/>
          <w:szCs w:val="32"/>
        </w:rPr>
        <w:t>一、赛项名称</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赛项名称：会计手工技能</w:t>
      </w:r>
      <w:r w:rsidRPr="001F7236">
        <w:rPr>
          <w:rFonts w:ascii="仿宋_GB2312" w:eastAsia="仿宋_GB2312" w:hAnsi="仿宋_GB2312" w:cs="仿宋_GB2312"/>
          <w:sz w:val="32"/>
          <w:szCs w:val="32"/>
        </w:rPr>
        <w:t xml:space="preserve"> </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赛项组别：中职组</w:t>
      </w:r>
      <w:r w:rsidRPr="001F7236">
        <w:rPr>
          <w:rFonts w:ascii="仿宋_GB2312" w:eastAsia="仿宋_GB2312" w:hAnsi="仿宋_GB2312" w:cs="仿宋_GB2312"/>
          <w:sz w:val="32"/>
          <w:szCs w:val="32"/>
        </w:rPr>
        <w:t xml:space="preserve"> </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赛项归属产业：财经商贸大类</w:t>
      </w:r>
    </w:p>
    <w:p w:rsidR="00E779D9" w:rsidRPr="001F7236" w:rsidRDefault="00E779D9" w:rsidP="001F7236">
      <w:pPr>
        <w:pStyle w:val="1"/>
        <w:spacing w:before="156" w:after="156"/>
        <w:ind w:firstLineChars="200" w:firstLine="643"/>
        <w:rPr>
          <w:b/>
          <w:sz w:val="32"/>
          <w:szCs w:val="32"/>
        </w:rPr>
      </w:pPr>
      <w:r w:rsidRPr="001F7236">
        <w:rPr>
          <w:rFonts w:hint="eastAsia"/>
          <w:b/>
          <w:sz w:val="32"/>
          <w:szCs w:val="32"/>
        </w:rPr>
        <w:t>二、竞赛方式</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“电算会计技能”赛项为团体赛</w:t>
      </w:r>
    </w:p>
    <w:p w:rsidR="00E779D9" w:rsidRPr="001F7236" w:rsidRDefault="00E779D9" w:rsidP="001F7236">
      <w:pPr>
        <w:pStyle w:val="1"/>
        <w:spacing w:before="156" w:after="156"/>
        <w:ind w:firstLineChars="200" w:firstLine="643"/>
        <w:rPr>
          <w:b/>
          <w:sz w:val="32"/>
          <w:szCs w:val="32"/>
        </w:rPr>
      </w:pPr>
      <w:r w:rsidRPr="001F7236">
        <w:rPr>
          <w:rFonts w:hint="eastAsia"/>
          <w:b/>
          <w:sz w:val="32"/>
          <w:szCs w:val="32"/>
        </w:rPr>
        <w:t>三、竞赛时间：</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“会计手工技能”赛项竞赛时间以具体比赛日程为准。</w:t>
      </w:r>
    </w:p>
    <w:p w:rsidR="00E779D9" w:rsidRPr="001F7236" w:rsidRDefault="00E779D9" w:rsidP="001F7236">
      <w:pPr>
        <w:pStyle w:val="1"/>
        <w:spacing w:before="156" w:after="156"/>
        <w:ind w:firstLineChars="200" w:firstLine="643"/>
        <w:rPr>
          <w:b/>
          <w:sz w:val="32"/>
          <w:szCs w:val="32"/>
        </w:rPr>
      </w:pPr>
      <w:r w:rsidRPr="001F7236">
        <w:rPr>
          <w:rFonts w:hint="eastAsia"/>
          <w:b/>
          <w:sz w:val="32"/>
          <w:szCs w:val="32"/>
        </w:rPr>
        <w:t>四、竞赛内容</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参数队伍将分别担任出纳、会计、会计主管三个岗位角色共同完成一个小型制造企业一个月</w:t>
      </w:r>
      <w:r w:rsidRPr="001F7236">
        <w:rPr>
          <w:rFonts w:ascii="仿宋_GB2312" w:eastAsia="仿宋_GB2312" w:hAnsi="仿宋_GB2312" w:cs="仿宋_GB2312"/>
          <w:sz w:val="32"/>
          <w:szCs w:val="32"/>
        </w:rPr>
        <w:t>40-50</w:t>
      </w:r>
      <w:r w:rsidRPr="001F7236">
        <w:rPr>
          <w:rFonts w:ascii="仿宋_GB2312" w:eastAsia="仿宋_GB2312" w:hAnsi="仿宋_GB2312" w:cs="仿宋_GB2312" w:hint="eastAsia"/>
          <w:sz w:val="32"/>
          <w:szCs w:val="32"/>
        </w:rPr>
        <w:t>笔经济业务处理。</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竞赛内容涉及的经济业务范围：</w:t>
      </w:r>
    </w:p>
    <w:p w:rsidR="00E779D9" w:rsidRPr="001F7236" w:rsidRDefault="00E779D9" w:rsidP="001F7236">
      <w:pPr>
        <w:pStyle w:val="NormalIndent"/>
        <w:spacing w:line="600" w:lineRule="exact"/>
        <w:ind w:firstLineChars="200" w:firstLine="643"/>
        <w:rPr>
          <w:rFonts w:ascii="仿宋_GB2312" w:eastAsia="仿宋_GB2312" w:hAnsi="仿宋_GB2312" w:cs="仿宋_GB2312"/>
          <w:b/>
          <w:sz w:val="32"/>
          <w:szCs w:val="32"/>
        </w:rPr>
      </w:pPr>
      <w:r w:rsidRPr="001F7236">
        <w:rPr>
          <w:rFonts w:ascii="仿宋_GB2312" w:eastAsia="仿宋_GB2312" w:hAnsi="仿宋_GB2312" w:cs="仿宋_GB2312"/>
          <w:b/>
          <w:sz w:val="32"/>
          <w:szCs w:val="32"/>
        </w:rPr>
        <w:t>1.</w:t>
      </w:r>
      <w:r w:rsidRPr="001F7236">
        <w:rPr>
          <w:rFonts w:ascii="仿宋_GB2312" w:eastAsia="仿宋_GB2312" w:hAnsi="仿宋_GB2312" w:cs="仿宋_GB2312" w:hint="eastAsia"/>
          <w:b/>
          <w:sz w:val="32"/>
          <w:szCs w:val="32"/>
        </w:rPr>
        <w:t>货币资金</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w:t>
      </w: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）库存现金核算及清查。（</w:t>
      </w: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）银行存款核算与核对。（</w:t>
      </w:r>
      <w:r w:rsidRPr="001F7236">
        <w:rPr>
          <w:rFonts w:ascii="仿宋_GB2312" w:eastAsia="仿宋_GB2312" w:hAnsi="仿宋_GB2312" w:cs="仿宋_GB2312"/>
          <w:sz w:val="32"/>
          <w:szCs w:val="32"/>
        </w:rPr>
        <w:t>3</w:t>
      </w:r>
      <w:r w:rsidRPr="001F7236">
        <w:rPr>
          <w:rFonts w:ascii="仿宋_GB2312" w:eastAsia="仿宋_GB2312" w:hAnsi="仿宋_GB2312" w:cs="仿宋_GB2312" w:hint="eastAsia"/>
          <w:sz w:val="32"/>
          <w:szCs w:val="32"/>
        </w:rPr>
        <w:t>）其他货币资金的核算。</w:t>
      </w:r>
    </w:p>
    <w:p w:rsidR="00E779D9" w:rsidRPr="001F7236" w:rsidRDefault="00E779D9" w:rsidP="001F7236">
      <w:pPr>
        <w:pStyle w:val="NormalIndent"/>
        <w:spacing w:line="600" w:lineRule="exact"/>
        <w:ind w:firstLineChars="200" w:firstLine="643"/>
        <w:rPr>
          <w:rFonts w:ascii="仿宋_GB2312" w:eastAsia="仿宋_GB2312" w:hAnsi="仿宋_GB2312" w:cs="仿宋_GB2312"/>
          <w:b/>
          <w:sz w:val="32"/>
          <w:szCs w:val="32"/>
        </w:rPr>
      </w:pPr>
      <w:r w:rsidRPr="001F7236">
        <w:rPr>
          <w:rFonts w:ascii="仿宋_GB2312" w:eastAsia="仿宋_GB2312" w:hAnsi="仿宋_GB2312" w:cs="仿宋_GB2312"/>
          <w:b/>
          <w:sz w:val="32"/>
          <w:szCs w:val="32"/>
        </w:rPr>
        <w:t>2.</w:t>
      </w:r>
      <w:r w:rsidRPr="001F7236">
        <w:rPr>
          <w:rFonts w:ascii="仿宋_GB2312" w:eastAsia="仿宋_GB2312" w:hAnsi="仿宋_GB2312" w:cs="仿宋_GB2312" w:hint="eastAsia"/>
          <w:b/>
          <w:sz w:val="32"/>
          <w:szCs w:val="32"/>
        </w:rPr>
        <w:t>应收及预付款项</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w:t>
      </w: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）应收票据、应收账款、预付账款的核算。（</w:t>
      </w: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）其他应收款的核算。（</w:t>
      </w:r>
      <w:r w:rsidRPr="001F7236">
        <w:rPr>
          <w:rFonts w:ascii="仿宋_GB2312" w:eastAsia="仿宋_GB2312" w:hAnsi="仿宋_GB2312" w:cs="仿宋_GB2312"/>
          <w:sz w:val="32"/>
          <w:szCs w:val="32"/>
        </w:rPr>
        <w:t>3</w:t>
      </w:r>
      <w:r w:rsidRPr="001F7236">
        <w:rPr>
          <w:rFonts w:ascii="仿宋_GB2312" w:eastAsia="仿宋_GB2312" w:hAnsi="仿宋_GB2312" w:cs="仿宋_GB2312" w:hint="eastAsia"/>
          <w:sz w:val="32"/>
          <w:szCs w:val="32"/>
        </w:rPr>
        <w:t>）应收股利、应收利息的核算。</w:t>
      </w:r>
    </w:p>
    <w:p w:rsidR="00E779D9" w:rsidRPr="001F7236" w:rsidRDefault="00E779D9" w:rsidP="001F7236">
      <w:pPr>
        <w:pStyle w:val="NormalIndent"/>
        <w:spacing w:line="600" w:lineRule="exact"/>
        <w:ind w:firstLineChars="200" w:firstLine="643"/>
        <w:rPr>
          <w:rFonts w:ascii="仿宋_GB2312" w:eastAsia="仿宋_GB2312" w:hAnsi="仿宋_GB2312" w:cs="仿宋_GB2312"/>
          <w:b/>
          <w:sz w:val="32"/>
          <w:szCs w:val="32"/>
        </w:rPr>
      </w:pPr>
      <w:r w:rsidRPr="001F7236">
        <w:rPr>
          <w:rFonts w:ascii="仿宋_GB2312" w:eastAsia="仿宋_GB2312" w:hAnsi="仿宋_GB2312" w:cs="仿宋_GB2312"/>
          <w:b/>
          <w:sz w:val="32"/>
          <w:szCs w:val="32"/>
        </w:rPr>
        <w:t>3.</w:t>
      </w:r>
      <w:r w:rsidRPr="001F7236">
        <w:rPr>
          <w:rFonts w:ascii="仿宋_GB2312" w:eastAsia="仿宋_GB2312" w:hAnsi="仿宋_GB2312" w:cs="仿宋_GB2312" w:hint="eastAsia"/>
          <w:b/>
          <w:sz w:val="32"/>
          <w:szCs w:val="32"/>
        </w:rPr>
        <w:t>短期投资</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短期投资的核算。</w:t>
      </w:r>
    </w:p>
    <w:p w:rsidR="00E779D9" w:rsidRPr="001F7236" w:rsidRDefault="00E779D9" w:rsidP="001F7236">
      <w:pPr>
        <w:pStyle w:val="NormalIndent"/>
        <w:spacing w:line="600" w:lineRule="exact"/>
        <w:ind w:firstLineChars="200" w:firstLine="643"/>
        <w:rPr>
          <w:rFonts w:ascii="仿宋_GB2312" w:eastAsia="仿宋_GB2312" w:hAnsi="仿宋_GB2312" w:cs="仿宋_GB2312"/>
          <w:b/>
          <w:sz w:val="32"/>
          <w:szCs w:val="32"/>
        </w:rPr>
      </w:pPr>
      <w:r w:rsidRPr="001F7236">
        <w:rPr>
          <w:rFonts w:ascii="仿宋_GB2312" w:eastAsia="仿宋_GB2312" w:hAnsi="仿宋_GB2312" w:cs="仿宋_GB2312"/>
          <w:b/>
          <w:sz w:val="32"/>
          <w:szCs w:val="32"/>
        </w:rPr>
        <w:t>4.</w:t>
      </w:r>
      <w:r w:rsidRPr="001F7236">
        <w:rPr>
          <w:rFonts w:ascii="仿宋_GB2312" w:eastAsia="仿宋_GB2312" w:hAnsi="仿宋_GB2312" w:cs="仿宋_GB2312" w:hint="eastAsia"/>
          <w:b/>
          <w:sz w:val="32"/>
          <w:szCs w:val="32"/>
        </w:rPr>
        <w:t>存货</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w:t>
      </w: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）存货收入、发出的核算。（</w:t>
      </w: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）存货清查。</w:t>
      </w:r>
    </w:p>
    <w:p w:rsidR="00E779D9" w:rsidRPr="001F7236" w:rsidRDefault="00E779D9" w:rsidP="001F7236">
      <w:pPr>
        <w:pStyle w:val="NormalIndent"/>
        <w:spacing w:line="600" w:lineRule="exact"/>
        <w:ind w:firstLineChars="200" w:firstLine="643"/>
        <w:rPr>
          <w:rFonts w:ascii="仿宋_GB2312" w:eastAsia="仿宋_GB2312" w:hAnsi="仿宋_GB2312" w:cs="仿宋_GB2312"/>
          <w:b/>
          <w:sz w:val="32"/>
          <w:szCs w:val="32"/>
        </w:rPr>
      </w:pPr>
      <w:r w:rsidRPr="001F7236">
        <w:rPr>
          <w:rFonts w:ascii="仿宋_GB2312" w:eastAsia="仿宋_GB2312" w:hAnsi="仿宋_GB2312" w:cs="仿宋_GB2312"/>
          <w:b/>
          <w:sz w:val="32"/>
          <w:szCs w:val="32"/>
        </w:rPr>
        <w:t>5.</w:t>
      </w:r>
      <w:r w:rsidRPr="001F7236">
        <w:rPr>
          <w:rFonts w:ascii="仿宋_GB2312" w:eastAsia="仿宋_GB2312" w:hAnsi="仿宋_GB2312" w:cs="仿宋_GB2312" w:hint="eastAsia"/>
          <w:b/>
          <w:sz w:val="32"/>
          <w:szCs w:val="32"/>
        </w:rPr>
        <w:t>长期投资</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w:t>
      </w: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）长期股权投资的核算。（</w:t>
      </w: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）长期债券投资的核算。</w:t>
      </w:r>
    </w:p>
    <w:p w:rsidR="00E779D9" w:rsidRPr="001F7236" w:rsidRDefault="00E779D9" w:rsidP="001F7236">
      <w:pPr>
        <w:pStyle w:val="NormalIndent"/>
        <w:spacing w:line="600" w:lineRule="exact"/>
        <w:ind w:firstLineChars="200" w:firstLine="643"/>
        <w:rPr>
          <w:rFonts w:ascii="仿宋_GB2312" w:eastAsia="仿宋_GB2312" w:hAnsi="仿宋_GB2312" w:cs="仿宋_GB2312"/>
          <w:b/>
          <w:sz w:val="32"/>
          <w:szCs w:val="32"/>
        </w:rPr>
      </w:pPr>
      <w:r w:rsidRPr="001F7236">
        <w:rPr>
          <w:rFonts w:ascii="仿宋_GB2312" w:eastAsia="仿宋_GB2312" w:hAnsi="仿宋_GB2312" w:cs="仿宋_GB2312"/>
          <w:b/>
          <w:sz w:val="32"/>
          <w:szCs w:val="32"/>
        </w:rPr>
        <w:t>6.</w:t>
      </w:r>
      <w:r w:rsidRPr="001F7236">
        <w:rPr>
          <w:rFonts w:ascii="仿宋_GB2312" w:eastAsia="仿宋_GB2312" w:hAnsi="仿宋_GB2312" w:cs="仿宋_GB2312" w:hint="eastAsia"/>
          <w:b/>
          <w:sz w:val="32"/>
          <w:szCs w:val="32"/>
        </w:rPr>
        <w:t>固定资产</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w:t>
      </w: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）固定资产增加、减少、折旧的核算。（</w:t>
      </w: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）固定资产后续支出的核算。（</w:t>
      </w:r>
      <w:r w:rsidRPr="001F7236">
        <w:rPr>
          <w:rFonts w:ascii="仿宋_GB2312" w:eastAsia="仿宋_GB2312" w:hAnsi="仿宋_GB2312" w:cs="仿宋_GB2312"/>
          <w:sz w:val="32"/>
          <w:szCs w:val="32"/>
        </w:rPr>
        <w:t>3</w:t>
      </w:r>
      <w:r w:rsidRPr="001F7236">
        <w:rPr>
          <w:rFonts w:ascii="仿宋_GB2312" w:eastAsia="仿宋_GB2312" w:hAnsi="仿宋_GB2312" w:cs="仿宋_GB2312" w:hint="eastAsia"/>
          <w:sz w:val="32"/>
          <w:szCs w:val="32"/>
        </w:rPr>
        <w:t>）固定资产清查。（</w:t>
      </w:r>
      <w:r w:rsidRPr="001F7236">
        <w:rPr>
          <w:rFonts w:ascii="仿宋_GB2312" w:eastAsia="仿宋_GB2312" w:hAnsi="仿宋_GB2312" w:cs="仿宋_GB2312"/>
          <w:sz w:val="32"/>
          <w:szCs w:val="32"/>
        </w:rPr>
        <w:t>4</w:t>
      </w:r>
      <w:r w:rsidRPr="001F7236">
        <w:rPr>
          <w:rFonts w:ascii="仿宋_GB2312" w:eastAsia="仿宋_GB2312" w:hAnsi="仿宋_GB2312" w:cs="仿宋_GB2312" w:hint="eastAsia"/>
          <w:sz w:val="32"/>
          <w:szCs w:val="32"/>
        </w:rPr>
        <w:t>）固定资产处置。</w:t>
      </w:r>
    </w:p>
    <w:p w:rsidR="00E779D9" w:rsidRPr="001F7236" w:rsidRDefault="00E779D9" w:rsidP="001F7236">
      <w:pPr>
        <w:pStyle w:val="NormalIndent"/>
        <w:spacing w:line="600" w:lineRule="exact"/>
        <w:ind w:firstLineChars="200" w:firstLine="643"/>
        <w:rPr>
          <w:rFonts w:ascii="仿宋_GB2312" w:eastAsia="仿宋_GB2312" w:hAnsi="仿宋_GB2312" w:cs="仿宋_GB2312"/>
          <w:b/>
          <w:sz w:val="32"/>
          <w:szCs w:val="32"/>
        </w:rPr>
      </w:pPr>
      <w:r w:rsidRPr="001F7236">
        <w:rPr>
          <w:rFonts w:ascii="仿宋_GB2312" w:eastAsia="仿宋_GB2312" w:hAnsi="仿宋_GB2312" w:cs="仿宋_GB2312"/>
          <w:b/>
          <w:sz w:val="32"/>
          <w:szCs w:val="32"/>
        </w:rPr>
        <w:t>7.</w:t>
      </w:r>
      <w:r w:rsidRPr="001F7236">
        <w:rPr>
          <w:rFonts w:ascii="仿宋_GB2312" w:eastAsia="仿宋_GB2312" w:hAnsi="仿宋_GB2312" w:cs="仿宋_GB2312" w:hint="eastAsia"/>
          <w:b/>
          <w:sz w:val="32"/>
          <w:szCs w:val="32"/>
        </w:rPr>
        <w:t>无形资产</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w:t>
      </w: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）无形资产的取得、摊销及处置的核算。（</w:t>
      </w: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）无形资产减值。</w:t>
      </w:r>
    </w:p>
    <w:p w:rsidR="00E779D9" w:rsidRPr="001F7236" w:rsidRDefault="00E779D9" w:rsidP="001F7236">
      <w:pPr>
        <w:pStyle w:val="NormalIndent"/>
        <w:spacing w:line="600" w:lineRule="exact"/>
        <w:ind w:firstLineChars="200" w:firstLine="643"/>
        <w:rPr>
          <w:rFonts w:ascii="仿宋_GB2312" w:eastAsia="仿宋_GB2312" w:hAnsi="仿宋_GB2312" w:cs="仿宋_GB2312"/>
          <w:b/>
          <w:sz w:val="32"/>
          <w:szCs w:val="32"/>
        </w:rPr>
      </w:pPr>
      <w:r w:rsidRPr="001F7236">
        <w:rPr>
          <w:rFonts w:ascii="仿宋_GB2312" w:eastAsia="仿宋_GB2312" w:hAnsi="仿宋_GB2312" w:cs="仿宋_GB2312"/>
          <w:b/>
          <w:sz w:val="32"/>
          <w:szCs w:val="32"/>
        </w:rPr>
        <w:t>8.</w:t>
      </w:r>
      <w:r w:rsidRPr="001F7236">
        <w:rPr>
          <w:rFonts w:ascii="仿宋_GB2312" w:eastAsia="仿宋_GB2312" w:hAnsi="仿宋_GB2312" w:cs="仿宋_GB2312" w:hint="eastAsia"/>
          <w:b/>
          <w:sz w:val="32"/>
          <w:szCs w:val="32"/>
        </w:rPr>
        <w:t>其他资产</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其他资产项目的核算。</w:t>
      </w:r>
    </w:p>
    <w:p w:rsidR="00E779D9" w:rsidRPr="001F7236" w:rsidRDefault="00E779D9" w:rsidP="001F7236">
      <w:pPr>
        <w:pStyle w:val="NormalIndent"/>
        <w:spacing w:line="600" w:lineRule="exact"/>
        <w:ind w:firstLineChars="200" w:firstLine="643"/>
        <w:rPr>
          <w:rFonts w:ascii="仿宋_GB2312" w:eastAsia="仿宋_GB2312" w:hAnsi="仿宋_GB2312" w:cs="仿宋_GB2312"/>
          <w:b/>
          <w:sz w:val="32"/>
          <w:szCs w:val="32"/>
        </w:rPr>
      </w:pPr>
      <w:r w:rsidRPr="001F7236">
        <w:rPr>
          <w:rFonts w:ascii="仿宋_GB2312" w:eastAsia="仿宋_GB2312" w:hAnsi="仿宋_GB2312" w:cs="仿宋_GB2312"/>
          <w:b/>
          <w:sz w:val="32"/>
          <w:szCs w:val="32"/>
        </w:rPr>
        <w:t>9.</w:t>
      </w:r>
      <w:r w:rsidRPr="001F7236">
        <w:rPr>
          <w:rFonts w:ascii="仿宋_GB2312" w:eastAsia="仿宋_GB2312" w:hAnsi="仿宋_GB2312" w:cs="仿宋_GB2312" w:hint="eastAsia"/>
          <w:b/>
          <w:sz w:val="32"/>
          <w:szCs w:val="32"/>
        </w:rPr>
        <w:t>流动负债</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w:t>
      </w: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）短期借款的核算。（</w:t>
      </w: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）应付及预收款项的核算。（</w:t>
      </w:r>
      <w:r w:rsidRPr="001F7236">
        <w:rPr>
          <w:rFonts w:ascii="仿宋_GB2312" w:eastAsia="仿宋_GB2312" w:hAnsi="仿宋_GB2312" w:cs="仿宋_GB2312"/>
          <w:sz w:val="32"/>
          <w:szCs w:val="32"/>
        </w:rPr>
        <w:t>3</w:t>
      </w:r>
      <w:r w:rsidRPr="001F7236">
        <w:rPr>
          <w:rFonts w:ascii="仿宋_GB2312" w:eastAsia="仿宋_GB2312" w:hAnsi="仿宋_GB2312" w:cs="仿宋_GB2312" w:hint="eastAsia"/>
          <w:sz w:val="32"/>
          <w:szCs w:val="32"/>
        </w:rPr>
        <w:t>）应付职工薪酬的核算。（</w:t>
      </w:r>
      <w:r w:rsidRPr="001F7236">
        <w:rPr>
          <w:rFonts w:ascii="仿宋_GB2312" w:eastAsia="仿宋_GB2312" w:hAnsi="仿宋_GB2312" w:cs="仿宋_GB2312"/>
          <w:sz w:val="32"/>
          <w:szCs w:val="32"/>
        </w:rPr>
        <w:t>4</w:t>
      </w:r>
      <w:r w:rsidRPr="001F7236">
        <w:rPr>
          <w:rFonts w:ascii="仿宋_GB2312" w:eastAsia="仿宋_GB2312" w:hAnsi="仿宋_GB2312" w:cs="仿宋_GB2312" w:hint="eastAsia"/>
          <w:sz w:val="32"/>
          <w:szCs w:val="32"/>
        </w:rPr>
        <w:t>）应交增值税、所得税、消费税及其他应交税费的核算。（</w:t>
      </w:r>
      <w:r w:rsidRPr="001F7236">
        <w:rPr>
          <w:rFonts w:ascii="仿宋_GB2312" w:eastAsia="仿宋_GB2312" w:hAnsi="仿宋_GB2312" w:cs="仿宋_GB2312"/>
          <w:sz w:val="32"/>
          <w:szCs w:val="32"/>
        </w:rPr>
        <w:t>5</w:t>
      </w:r>
      <w:r w:rsidRPr="001F7236">
        <w:rPr>
          <w:rFonts w:ascii="仿宋_GB2312" w:eastAsia="仿宋_GB2312" w:hAnsi="仿宋_GB2312" w:cs="仿宋_GB2312" w:hint="eastAsia"/>
          <w:sz w:val="32"/>
          <w:szCs w:val="32"/>
        </w:rPr>
        <w:t>）应付利润、应付利息及其他应付款的核算。</w:t>
      </w:r>
    </w:p>
    <w:p w:rsidR="00E779D9" w:rsidRPr="001F7236" w:rsidRDefault="00E779D9" w:rsidP="001F7236">
      <w:pPr>
        <w:pStyle w:val="NormalIndent"/>
        <w:spacing w:line="600" w:lineRule="exact"/>
        <w:ind w:firstLineChars="200" w:firstLine="643"/>
        <w:rPr>
          <w:rFonts w:ascii="仿宋_GB2312" w:eastAsia="仿宋_GB2312" w:hAnsi="仿宋_GB2312" w:cs="仿宋_GB2312"/>
          <w:b/>
          <w:sz w:val="32"/>
          <w:szCs w:val="32"/>
        </w:rPr>
      </w:pPr>
      <w:r w:rsidRPr="001F7236">
        <w:rPr>
          <w:rFonts w:ascii="仿宋_GB2312" w:eastAsia="仿宋_GB2312" w:hAnsi="仿宋_GB2312" w:cs="仿宋_GB2312"/>
          <w:b/>
          <w:sz w:val="32"/>
          <w:szCs w:val="32"/>
        </w:rPr>
        <w:t>10.</w:t>
      </w:r>
      <w:r w:rsidRPr="001F7236">
        <w:rPr>
          <w:rFonts w:ascii="仿宋_GB2312" w:eastAsia="仿宋_GB2312" w:hAnsi="仿宋_GB2312" w:cs="仿宋_GB2312" w:hint="eastAsia"/>
          <w:b/>
          <w:sz w:val="32"/>
          <w:szCs w:val="32"/>
        </w:rPr>
        <w:t>长期负债</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w:t>
      </w: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）长期借款的核算。（</w:t>
      </w: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）长期应付款的核算。</w:t>
      </w:r>
    </w:p>
    <w:p w:rsidR="00E779D9" w:rsidRPr="001F7236" w:rsidRDefault="00E779D9" w:rsidP="001F7236">
      <w:pPr>
        <w:pStyle w:val="NormalIndent"/>
        <w:spacing w:line="600" w:lineRule="exact"/>
        <w:ind w:firstLineChars="200" w:firstLine="643"/>
        <w:rPr>
          <w:rFonts w:ascii="仿宋_GB2312" w:eastAsia="仿宋_GB2312" w:hAnsi="仿宋_GB2312" w:cs="仿宋_GB2312"/>
          <w:b/>
          <w:sz w:val="32"/>
          <w:szCs w:val="32"/>
        </w:rPr>
      </w:pPr>
      <w:r w:rsidRPr="001F7236">
        <w:rPr>
          <w:rFonts w:ascii="仿宋_GB2312" w:eastAsia="仿宋_GB2312" w:hAnsi="仿宋_GB2312" w:cs="仿宋_GB2312"/>
          <w:b/>
          <w:sz w:val="32"/>
          <w:szCs w:val="32"/>
        </w:rPr>
        <w:t>11.</w:t>
      </w:r>
      <w:r w:rsidRPr="001F7236">
        <w:rPr>
          <w:rFonts w:ascii="仿宋_GB2312" w:eastAsia="仿宋_GB2312" w:hAnsi="仿宋_GB2312" w:cs="仿宋_GB2312" w:hint="eastAsia"/>
          <w:b/>
          <w:sz w:val="32"/>
          <w:szCs w:val="32"/>
        </w:rPr>
        <w:t>所有者权益</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w:t>
      </w: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）实收资本的核算。（</w:t>
      </w: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）资本公积的核算。（</w:t>
      </w:r>
      <w:r w:rsidRPr="001F7236">
        <w:rPr>
          <w:rFonts w:ascii="仿宋_GB2312" w:eastAsia="仿宋_GB2312" w:hAnsi="仿宋_GB2312" w:cs="仿宋_GB2312"/>
          <w:sz w:val="32"/>
          <w:szCs w:val="32"/>
        </w:rPr>
        <w:t>3</w:t>
      </w:r>
      <w:r w:rsidRPr="001F7236">
        <w:rPr>
          <w:rFonts w:ascii="仿宋_GB2312" w:eastAsia="仿宋_GB2312" w:hAnsi="仿宋_GB2312" w:cs="仿宋_GB2312" w:hint="eastAsia"/>
          <w:sz w:val="32"/>
          <w:szCs w:val="32"/>
        </w:rPr>
        <w:t>）留存收益的核算。</w:t>
      </w:r>
    </w:p>
    <w:p w:rsidR="00E779D9" w:rsidRPr="001F7236" w:rsidRDefault="00E779D9" w:rsidP="001F7236">
      <w:pPr>
        <w:pStyle w:val="NormalIndent"/>
        <w:spacing w:line="600" w:lineRule="exact"/>
        <w:ind w:firstLineChars="200" w:firstLine="643"/>
        <w:rPr>
          <w:rFonts w:ascii="仿宋_GB2312" w:eastAsia="仿宋_GB2312" w:hAnsi="仿宋_GB2312" w:cs="仿宋_GB2312"/>
          <w:b/>
          <w:sz w:val="32"/>
          <w:szCs w:val="32"/>
        </w:rPr>
      </w:pPr>
      <w:r w:rsidRPr="001F7236">
        <w:rPr>
          <w:rFonts w:ascii="仿宋_GB2312" w:eastAsia="仿宋_GB2312" w:hAnsi="仿宋_GB2312" w:cs="仿宋_GB2312"/>
          <w:b/>
          <w:sz w:val="32"/>
          <w:szCs w:val="32"/>
        </w:rPr>
        <w:t>12.</w:t>
      </w:r>
      <w:r w:rsidRPr="001F7236">
        <w:rPr>
          <w:rFonts w:ascii="仿宋_GB2312" w:eastAsia="仿宋_GB2312" w:hAnsi="仿宋_GB2312" w:cs="仿宋_GB2312" w:hint="eastAsia"/>
          <w:b/>
          <w:sz w:val="32"/>
          <w:szCs w:val="32"/>
        </w:rPr>
        <w:t>收入</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w:t>
      </w: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）销售商品收入的核算。（</w:t>
      </w: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）提供劳务收入的核算。（</w:t>
      </w:r>
      <w:r w:rsidRPr="001F7236">
        <w:rPr>
          <w:rFonts w:ascii="仿宋_GB2312" w:eastAsia="仿宋_GB2312" w:hAnsi="仿宋_GB2312" w:cs="仿宋_GB2312"/>
          <w:sz w:val="32"/>
          <w:szCs w:val="32"/>
        </w:rPr>
        <w:t>3</w:t>
      </w:r>
      <w:r w:rsidRPr="001F7236">
        <w:rPr>
          <w:rFonts w:ascii="仿宋_GB2312" w:eastAsia="仿宋_GB2312" w:hAnsi="仿宋_GB2312" w:cs="仿宋_GB2312" w:hint="eastAsia"/>
          <w:sz w:val="32"/>
          <w:szCs w:val="32"/>
        </w:rPr>
        <w:t>）让渡资产使用权收入的核算。（</w:t>
      </w:r>
      <w:r w:rsidRPr="001F7236">
        <w:rPr>
          <w:rFonts w:ascii="仿宋_GB2312" w:eastAsia="仿宋_GB2312" w:hAnsi="仿宋_GB2312" w:cs="仿宋_GB2312"/>
          <w:sz w:val="32"/>
          <w:szCs w:val="32"/>
        </w:rPr>
        <w:t>4</w:t>
      </w:r>
      <w:r w:rsidRPr="001F7236">
        <w:rPr>
          <w:rFonts w:ascii="仿宋_GB2312" w:eastAsia="仿宋_GB2312" w:hAnsi="仿宋_GB2312" w:cs="仿宋_GB2312" w:hint="eastAsia"/>
          <w:sz w:val="32"/>
          <w:szCs w:val="32"/>
        </w:rPr>
        <w:t>）营业外收入的核算。</w:t>
      </w:r>
    </w:p>
    <w:p w:rsidR="00E779D9" w:rsidRPr="001F7236" w:rsidRDefault="00E779D9" w:rsidP="001F7236">
      <w:pPr>
        <w:pStyle w:val="NormalIndent"/>
        <w:spacing w:line="600" w:lineRule="exact"/>
        <w:ind w:firstLineChars="200" w:firstLine="643"/>
        <w:rPr>
          <w:rFonts w:ascii="仿宋_GB2312" w:eastAsia="仿宋_GB2312" w:hAnsi="仿宋_GB2312" w:cs="仿宋_GB2312"/>
          <w:b/>
          <w:sz w:val="32"/>
          <w:szCs w:val="32"/>
        </w:rPr>
      </w:pPr>
      <w:r w:rsidRPr="001F7236">
        <w:rPr>
          <w:rFonts w:ascii="仿宋_GB2312" w:eastAsia="仿宋_GB2312" w:hAnsi="仿宋_GB2312" w:cs="仿宋_GB2312"/>
          <w:b/>
          <w:sz w:val="32"/>
          <w:szCs w:val="32"/>
        </w:rPr>
        <w:t>13.</w:t>
      </w:r>
      <w:r w:rsidRPr="001F7236">
        <w:rPr>
          <w:rFonts w:ascii="仿宋_GB2312" w:eastAsia="仿宋_GB2312" w:hAnsi="仿宋_GB2312" w:cs="仿宋_GB2312" w:hint="eastAsia"/>
          <w:b/>
          <w:sz w:val="32"/>
          <w:szCs w:val="32"/>
        </w:rPr>
        <w:t>费用</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w:t>
      </w: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）营业成本的核算。（</w:t>
      </w: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）税金及附加的核算。（</w:t>
      </w:r>
      <w:r w:rsidRPr="001F7236">
        <w:rPr>
          <w:rFonts w:ascii="仿宋_GB2312" w:eastAsia="仿宋_GB2312" w:hAnsi="仿宋_GB2312" w:cs="仿宋_GB2312"/>
          <w:sz w:val="32"/>
          <w:szCs w:val="32"/>
        </w:rPr>
        <w:t>3</w:t>
      </w:r>
      <w:r w:rsidRPr="001F7236">
        <w:rPr>
          <w:rFonts w:ascii="仿宋_GB2312" w:eastAsia="仿宋_GB2312" w:hAnsi="仿宋_GB2312" w:cs="仿宋_GB2312" w:hint="eastAsia"/>
          <w:sz w:val="32"/>
          <w:szCs w:val="32"/>
        </w:rPr>
        <w:t>）期间费用的核算。（</w:t>
      </w:r>
      <w:r w:rsidRPr="001F7236">
        <w:rPr>
          <w:rFonts w:ascii="仿宋_GB2312" w:eastAsia="仿宋_GB2312" w:hAnsi="仿宋_GB2312" w:cs="仿宋_GB2312"/>
          <w:sz w:val="32"/>
          <w:szCs w:val="32"/>
        </w:rPr>
        <w:t>4</w:t>
      </w:r>
      <w:r w:rsidRPr="001F7236">
        <w:rPr>
          <w:rFonts w:ascii="仿宋_GB2312" w:eastAsia="仿宋_GB2312" w:hAnsi="仿宋_GB2312" w:cs="仿宋_GB2312" w:hint="eastAsia"/>
          <w:sz w:val="32"/>
          <w:szCs w:val="32"/>
        </w:rPr>
        <w:t>）营业外支出的核算。</w:t>
      </w:r>
    </w:p>
    <w:p w:rsidR="00E779D9" w:rsidRPr="001F7236" w:rsidRDefault="00E779D9" w:rsidP="001F7236">
      <w:pPr>
        <w:pStyle w:val="NormalIndent"/>
        <w:spacing w:line="600" w:lineRule="exact"/>
        <w:ind w:firstLineChars="200" w:firstLine="643"/>
        <w:rPr>
          <w:rFonts w:ascii="仿宋_GB2312" w:eastAsia="仿宋_GB2312" w:hAnsi="仿宋_GB2312" w:cs="仿宋_GB2312"/>
          <w:b/>
          <w:sz w:val="32"/>
          <w:szCs w:val="32"/>
        </w:rPr>
      </w:pPr>
      <w:r w:rsidRPr="001F7236">
        <w:rPr>
          <w:rFonts w:ascii="仿宋_GB2312" w:eastAsia="仿宋_GB2312" w:hAnsi="仿宋_GB2312" w:cs="仿宋_GB2312"/>
          <w:b/>
          <w:sz w:val="32"/>
          <w:szCs w:val="32"/>
        </w:rPr>
        <w:t>14.</w:t>
      </w:r>
      <w:r w:rsidRPr="001F7236">
        <w:rPr>
          <w:rFonts w:ascii="仿宋_GB2312" w:eastAsia="仿宋_GB2312" w:hAnsi="仿宋_GB2312" w:cs="仿宋_GB2312" w:hint="eastAsia"/>
          <w:b/>
          <w:sz w:val="32"/>
          <w:szCs w:val="32"/>
        </w:rPr>
        <w:t>产品成本核算</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w:t>
      </w: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）要素费用的归集和分配。（</w:t>
      </w: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）生产费用在完工产品和在产品之间的归集和分配。（</w:t>
      </w:r>
      <w:r w:rsidRPr="001F7236">
        <w:rPr>
          <w:rFonts w:ascii="仿宋_GB2312" w:eastAsia="仿宋_GB2312" w:hAnsi="仿宋_GB2312" w:cs="仿宋_GB2312"/>
          <w:sz w:val="32"/>
          <w:szCs w:val="32"/>
        </w:rPr>
        <w:t>3</w:t>
      </w:r>
      <w:r w:rsidRPr="001F7236">
        <w:rPr>
          <w:rFonts w:ascii="仿宋_GB2312" w:eastAsia="仿宋_GB2312" w:hAnsi="仿宋_GB2312" w:cs="仿宋_GB2312" w:hint="eastAsia"/>
          <w:sz w:val="32"/>
          <w:szCs w:val="32"/>
        </w:rPr>
        <w:t>）产品生产成本的计算。</w:t>
      </w:r>
    </w:p>
    <w:p w:rsidR="00E779D9" w:rsidRPr="001F7236" w:rsidRDefault="00E779D9" w:rsidP="001F7236">
      <w:pPr>
        <w:pStyle w:val="NormalIndent"/>
        <w:spacing w:line="600" w:lineRule="exact"/>
        <w:ind w:firstLineChars="200" w:firstLine="643"/>
        <w:rPr>
          <w:rFonts w:ascii="仿宋_GB2312" w:eastAsia="仿宋_GB2312" w:hAnsi="仿宋_GB2312" w:cs="仿宋_GB2312"/>
          <w:b/>
          <w:sz w:val="32"/>
          <w:szCs w:val="32"/>
        </w:rPr>
      </w:pPr>
      <w:r w:rsidRPr="001F7236">
        <w:rPr>
          <w:rFonts w:ascii="仿宋_GB2312" w:eastAsia="仿宋_GB2312" w:hAnsi="仿宋_GB2312" w:cs="仿宋_GB2312"/>
          <w:b/>
          <w:sz w:val="32"/>
          <w:szCs w:val="32"/>
        </w:rPr>
        <w:t>15.</w:t>
      </w:r>
      <w:r w:rsidRPr="001F7236">
        <w:rPr>
          <w:rFonts w:ascii="仿宋_GB2312" w:eastAsia="仿宋_GB2312" w:hAnsi="仿宋_GB2312" w:cs="仿宋_GB2312" w:hint="eastAsia"/>
          <w:b/>
          <w:sz w:val="32"/>
          <w:szCs w:val="32"/>
        </w:rPr>
        <w:t>利润及利润分配</w:t>
      </w:r>
      <w:bookmarkStart w:id="0" w:name="_GoBack"/>
      <w:bookmarkEnd w:id="0"/>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w:t>
      </w: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）本年利润的结转。（</w:t>
      </w: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）本年利润的分配。</w:t>
      </w:r>
    </w:p>
    <w:p w:rsidR="00E779D9" w:rsidRPr="0077409A" w:rsidRDefault="00E779D9" w:rsidP="001F7236">
      <w:pPr>
        <w:pStyle w:val="NormalIndent"/>
        <w:spacing w:line="600" w:lineRule="exact"/>
        <w:ind w:firstLineChars="200" w:firstLine="640"/>
        <w:rPr>
          <w:rFonts w:ascii="仿宋" w:eastAsia="仿宋" w:hAnsi="仿宋" w:cs="仿宋"/>
          <w:bCs/>
          <w:kern w:val="0"/>
          <w:sz w:val="28"/>
          <w:szCs w:val="28"/>
        </w:rPr>
      </w:pPr>
      <w:r w:rsidRPr="001F7236">
        <w:rPr>
          <w:rFonts w:ascii="仿宋_GB2312" w:eastAsia="仿宋_GB2312" w:hAnsi="仿宋_GB2312" w:cs="仿宋_GB2312" w:hint="eastAsia"/>
          <w:sz w:val="32"/>
          <w:szCs w:val="32"/>
        </w:rPr>
        <w:t>相关岗位工作内容如下：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3"/>
        <w:gridCol w:w="1245"/>
        <w:gridCol w:w="4173"/>
      </w:tblGrid>
      <w:tr w:rsidR="00E779D9">
        <w:trPr>
          <w:trHeight w:val="523"/>
          <w:tblHeader/>
          <w:jc w:val="center"/>
        </w:trPr>
        <w:tc>
          <w:tcPr>
            <w:tcW w:w="2693" w:type="dxa"/>
            <w:vAlign w:val="center"/>
          </w:tcPr>
          <w:p w:rsidR="00E779D9" w:rsidRPr="0077409A" w:rsidRDefault="00E779D9">
            <w:pPr>
              <w:jc w:val="center"/>
              <w:rPr>
                <w:rFonts w:ascii="仿宋" w:eastAsia="仿宋" w:hAnsi="仿宋" w:cs="仿宋"/>
                <w:b/>
                <w:bCs/>
                <w:kern w:val="0"/>
                <w:sz w:val="28"/>
                <w:szCs w:val="28"/>
              </w:rPr>
            </w:pPr>
            <w:r w:rsidRPr="0077409A">
              <w:rPr>
                <w:rFonts w:ascii="仿宋" w:eastAsia="仿宋" w:hAnsi="仿宋" w:cs="仿宋" w:hint="eastAsia"/>
                <w:b/>
                <w:bCs/>
                <w:kern w:val="0"/>
                <w:sz w:val="28"/>
                <w:szCs w:val="28"/>
              </w:rPr>
              <w:t>竞赛内容</w:t>
            </w:r>
          </w:p>
        </w:tc>
        <w:tc>
          <w:tcPr>
            <w:tcW w:w="1245" w:type="dxa"/>
            <w:vAlign w:val="center"/>
          </w:tcPr>
          <w:p w:rsidR="00E779D9" w:rsidRPr="0077409A" w:rsidRDefault="00E779D9">
            <w:pPr>
              <w:jc w:val="center"/>
              <w:rPr>
                <w:rFonts w:ascii="仿宋" w:eastAsia="仿宋" w:hAnsi="仿宋" w:cs="仿宋"/>
                <w:b/>
                <w:bCs/>
                <w:kern w:val="0"/>
                <w:sz w:val="28"/>
                <w:szCs w:val="28"/>
              </w:rPr>
            </w:pPr>
            <w:r w:rsidRPr="0077409A">
              <w:rPr>
                <w:rFonts w:ascii="仿宋" w:eastAsia="仿宋" w:hAnsi="仿宋" w:cs="仿宋" w:hint="eastAsia"/>
                <w:b/>
                <w:bCs/>
                <w:kern w:val="0"/>
                <w:sz w:val="28"/>
                <w:szCs w:val="28"/>
              </w:rPr>
              <w:t>分工</w:t>
            </w:r>
          </w:p>
        </w:tc>
        <w:tc>
          <w:tcPr>
            <w:tcW w:w="4173" w:type="dxa"/>
            <w:vAlign w:val="center"/>
          </w:tcPr>
          <w:p w:rsidR="00E779D9" w:rsidRPr="0077409A" w:rsidRDefault="00E779D9">
            <w:pPr>
              <w:jc w:val="center"/>
              <w:rPr>
                <w:rFonts w:ascii="仿宋" w:eastAsia="仿宋" w:hAnsi="仿宋" w:cs="仿宋"/>
                <w:b/>
                <w:bCs/>
                <w:kern w:val="0"/>
                <w:sz w:val="28"/>
                <w:szCs w:val="28"/>
              </w:rPr>
            </w:pPr>
            <w:r w:rsidRPr="0077409A">
              <w:rPr>
                <w:rFonts w:ascii="仿宋" w:eastAsia="仿宋" w:hAnsi="仿宋" w:cs="仿宋" w:hint="eastAsia"/>
                <w:b/>
                <w:bCs/>
                <w:kern w:val="0"/>
                <w:sz w:val="28"/>
                <w:szCs w:val="28"/>
              </w:rPr>
              <w:t>评分规则</w:t>
            </w:r>
          </w:p>
        </w:tc>
      </w:tr>
      <w:tr w:rsidR="00E779D9">
        <w:trPr>
          <w:trHeight w:val="1046"/>
          <w:jc w:val="center"/>
        </w:trPr>
        <w:tc>
          <w:tcPr>
            <w:tcW w:w="2693"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会计凭证编制与审核</w:t>
            </w:r>
          </w:p>
        </w:tc>
        <w:tc>
          <w:tcPr>
            <w:tcW w:w="1245"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会计</w:t>
            </w:r>
          </w:p>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出纳</w:t>
            </w:r>
          </w:p>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会计主管</w:t>
            </w:r>
          </w:p>
        </w:tc>
        <w:tc>
          <w:tcPr>
            <w:tcW w:w="4173" w:type="dxa"/>
            <w:vAlign w:val="center"/>
          </w:tcPr>
          <w:p w:rsidR="00E779D9" w:rsidRDefault="00E779D9">
            <w:pPr>
              <w:rPr>
                <w:rFonts w:ascii="仿宋" w:eastAsia="仿宋" w:hAnsi="仿宋" w:cs="仿宋"/>
                <w:color w:val="000000"/>
                <w:sz w:val="24"/>
                <w:szCs w:val="24"/>
              </w:rPr>
            </w:pPr>
            <w:r>
              <w:rPr>
                <w:rFonts w:ascii="仿宋" w:eastAsia="仿宋" w:hAnsi="仿宋" w:cs="仿宋" w:hint="eastAsia"/>
                <w:color w:val="000000"/>
                <w:sz w:val="24"/>
                <w:szCs w:val="24"/>
              </w:rPr>
              <w:t>按照编制会计凭证的正确性和规范性评分。</w:t>
            </w:r>
          </w:p>
        </w:tc>
      </w:tr>
      <w:tr w:rsidR="00E779D9">
        <w:trPr>
          <w:trHeight w:val="749"/>
          <w:jc w:val="center"/>
        </w:trPr>
        <w:tc>
          <w:tcPr>
            <w:tcW w:w="2693"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科目汇总表编制</w:t>
            </w:r>
          </w:p>
        </w:tc>
        <w:tc>
          <w:tcPr>
            <w:tcW w:w="1245"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会计主管</w:t>
            </w:r>
          </w:p>
        </w:tc>
        <w:tc>
          <w:tcPr>
            <w:tcW w:w="4173" w:type="dxa"/>
            <w:vAlign w:val="center"/>
          </w:tcPr>
          <w:p w:rsidR="00E779D9" w:rsidRDefault="00E779D9">
            <w:pPr>
              <w:rPr>
                <w:rFonts w:ascii="仿宋" w:eastAsia="仿宋" w:hAnsi="仿宋" w:cs="仿宋"/>
                <w:color w:val="000000"/>
                <w:sz w:val="24"/>
                <w:szCs w:val="24"/>
              </w:rPr>
            </w:pPr>
            <w:r>
              <w:rPr>
                <w:rFonts w:ascii="仿宋" w:eastAsia="仿宋" w:hAnsi="仿宋" w:cs="仿宋" w:hint="eastAsia"/>
                <w:color w:val="000000"/>
                <w:sz w:val="24"/>
                <w:szCs w:val="24"/>
              </w:rPr>
              <w:t>按照科目汇总表的编制的正确性评分。</w:t>
            </w:r>
          </w:p>
        </w:tc>
      </w:tr>
      <w:tr w:rsidR="00E779D9">
        <w:trPr>
          <w:trHeight w:val="902"/>
          <w:jc w:val="center"/>
        </w:trPr>
        <w:tc>
          <w:tcPr>
            <w:tcW w:w="2693"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现金日记账、银行存款日记账的设置与登记</w:t>
            </w:r>
          </w:p>
        </w:tc>
        <w:tc>
          <w:tcPr>
            <w:tcW w:w="1245"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出纳</w:t>
            </w:r>
          </w:p>
        </w:tc>
        <w:tc>
          <w:tcPr>
            <w:tcW w:w="4173" w:type="dxa"/>
            <w:vAlign w:val="center"/>
          </w:tcPr>
          <w:p w:rsidR="00E779D9" w:rsidRDefault="00E779D9">
            <w:pPr>
              <w:rPr>
                <w:rFonts w:ascii="仿宋" w:eastAsia="仿宋" w:hAnsi="仿宋" w:cs="仿宋"/>
                <w:color w:val="000000"/>
                <w:sz w:val="24"/>
                <w:szCs w:val="24"/>
              </w:rPr>
            </w:pPr>
            <w:r>
              <w:rPr>
                <w:rFonts w:ascii="仿宋" w:eastAsia="仿宋" w:hAnsi="仿宋" w:cs="仿宋" w:hint="eastAsia"/>
                <w:color w:val="000000"/>
                <w:sz w:val="24"/>
                <w:szCs w:val="24"/>
              </w:rPr>
              <w:t>按照日记账登记的正确性和规范性评分。</w:t>
            </w:r>
          </w:p>
        </w:tc>
      </w:tr>
      <w:tr w:rsidR="00E779D9">
        <w:trPr>
          <w:trHeight w:val="824"/>
          <w:jc w:val="center"/>
        </w:trPr>
        <w:tc>
          <w:tcPr>
            <w:tcW w:w="2693"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明细分类账的设置与登记</w:t>
            </w:r>
          </w:p>
        </w:tc>
        <w:tc>
          <w:tcPr>
            <w:tcW w:w="1245"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会计</w:t>
            </w:r>
          </w:p>
        </w:tc>
        <w:tc>
          <w:tcPr>
            <w:tcW w:w="4173" w:type="dxa"/>
            <w:vAlign w:val="center"/>
          </w:tcPr>
          <w:p w:rsidR="00E779D9" w:rsidRDefault="00E779D9">
            <w:pPr>
              <w:rPr>
                <w:rFonts w:ascii="仿宋" w:eastAsia="仿宋" w:hAnsi="仿宋" w:cs="仿宋"/>
                <w:color w:val="000000"/>
                <w:sz w:val="24"/>
                <w:szCs w:val="24"/>
              </w:rPr>
            </w:pPr>
            <w:r>
              <w:rPr>
                <w:rFonts w:ascii="仿宋" w:eastAsia="仿宋" w:hAnsi="仿宋" w:cs="仿宋" w:hint="eastAsia"/>
                <w:color w:val="000000"/>
                <w:sz w:val="24"/>
                <w:szCs w:val="24"/>
              </w:rPr>
              <w:t>按照明细分类账登记的正确性和规范性评分。</w:t>
            </w:r>
          </w:p>
        </w:tc>
      </w:tr>
      <w:tr w:rsidR="00E779D9">
        <w:trPr>
          <w:trHeight w:val="779"/>
          <w:jc w:val="center"/>
        </w:trPr>
        <w:tc>
          <w:tcPr>
            <w:tcW w:w="2693"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总账的设置与登记</w:t>
            </w:r>
          </w:p>
        </w:tc>
        <w:tc>
          <w:tcPr>
            <w:tcW w:w="1245"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会计主管</w:t>
            </w:r>
          </w:p>
        </w:tc>
        <w:tc>
          <w:tcPr>
            <w:tcW w:w="4173" w:type="dxa"/>
            <w:vAlign w:val="center"/>
          </w:tcPr>
          <w:p w:rsidR="00E779D9" w:rsidRDefault="00E779D9">
            <w:pPr>
              <w:rPr>
                <w:rFonts w:ascii="仿宋" w:eastAsia="仿宋" w:hAnsi="仿宋" w:cs="仿宋"/>
                <w:color w:val="000000"/>
                <w:sz w:val="24"/>
                <w:szCs w:val="24"/>
              </w:rPr>
            </w:pPr>
            <w:r>
              <w:rPr>
                <w:rFonts w:ascii="仿宋" w:eastAsia="仿宋" w:hAnsi="仿宋" w:cs="仿宋" w:hint="eastAsia"/>
                <w:color w:val="000000"/>
                <w:sz w:val="24"/>
                <w:szCs w:val="24"/>
              </w:rPr>
              <w:t>按照总账登记的正确性和规范性评分。</w:t>
            </w:r>
          </w:p>
        </w:tc>
      </w:tr>
      <w:tr w:rsidR="00E779D9">
        <w:trPr>
          <w:trHeight w:val="804"/>
          <w:jc w:val="center"/>
        </w:trPr>
        <w:tc>
          <w:tcPr>
            <w:tcW w:w="2693"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资产负债表和利润表</w:t>
            </w:r>
          </w:p>
        </w:tc>
        <w:tc>
          <w:tcPr>
            <w:tcW w:w="1245"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会计主管</w:t>
            </w:r>
          </w:p>
        </w:tc>
        <w:tc>
          <w:tcPr>
            <w:tcW w:w="4173" w:type="dxa"/>
            <w:vAlign w:val="center"/>
          </w:tcPr>
          <w:p w:rsidR="00E779D9" w:rsidRDefault="00E779D9">
            <w:pPr>
              <w:rPr>
                <w:rFonts w:ascii="仿宋" w:eastAsia="仿宋" w:hAnsi="仿宋" w:cs="仿宋"/>
                <w:color w:val="000000"/>
                <w:sz w:val="24"/>
                <w:szCs w:val="24"/>
              </w:rPr>
            </w:pPr>
            <w:r>
              <w:rPr>
                <w:rFonts w:ascii="仿宋" w:eastAsia="仿宋" w:hAnsi="仿宋" w:cs="仿宋" w:hint="eastAsia"/>
                <w:color w:val="000000"/>
                <w:sz w:val="24"/>
                <w:szCs w:val="24"/>
              </w:rPr>
              <w:t>按照报表各项目指标的计算与填写的正确性评分。</w:t>
            </w:r>
          </w:p>
        </w:tc>
      </w:tr>
    </w:tbl>
    <w:p w:rsidR="00E779D9" w:rsidRPr="001F7236" w:rsidRDefault="00E779D9" w:rsidP="001F7236">
      <w:pPr>
        <w:pStyle w:val="1"/>
        <w:spacing w:before="156" w:after="156"/>
        <w:ind w:firstLineChars="200" w:firstLine="643"/>
        <w:rPr>
          <w:b/>
          <w:sz w:val="32"/>
          <w:szCs w:val="32"/>
        </w:rPr>
      </w:pPr>
      <w:r w:rsidRPr="001F7236">
        <w:rPr>
          <w:rFonts w:hint="eastAsia"/>
          <w:b/>
          <w:sz w:val="32"/>
          <w:szCs w:val="32"/>
        </w:rPr>
        <w:t>五、竞赛规则</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竞赛现场按各参赛代表队设置竞赛台位，每一台位按出纳、会计、会计主管三个岗位标注操作位置，各参赛队在裁判人员的指导下，按抽签确定的竞赛台位号就坐。各队选手应检查台位号与抽签号是否相符。</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待比赛命令发布后，方可开始答题。竞赛过程中如有疑问或遇设备、软件等故障，参赛选手应举手示意，裁判人员、技术人员等应及时予以解决。确因计算机软件或硬件故障，致使操作无法继续的，经裁判长确认，予以启用备用工作台。</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3.</w:t>
      </w:r>
      <w:r w:rsidRPr="001F7236">
        <w:rPr>
          <w:rFonts w:ascii="仿宋_GB2312" w:eastAsia="仿宋_GB2312" w:hAnsi="仿宋_GB2312" w:cs="仿宋_GB2312" w:hint="eastAsia"/>
          <w:sz w:val="32"/>
          <w:szCs w:val="32"/>
        </w:rPr>
        <w:t>团队协作比赛由三名选手根据岗位分工协作完成。</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4.</w:t>
      </w:r>
      <w:r w:rsidRPr="001F7236">
        <w:rPr>
          <w:rFonts w:ascii="仿宋_GB2312" w:eastAsia="仿宋_GB2312" w:hAnsi="仿宋_GB2312" w:cs="仿宋_GB2312" w:hint="eastAsia"/>
          <w:sz w:val="32"/>
          <w:szCs w:val="32"/>
        </w:rPr>
        <w:t>竞赛时间终了，选手应全体起立，结束操作。将资料和用品用具整齐摆放在操作台上，经裁判人员清点后方可离开赛场，离开赛场时不得带走任何资料。</w:t>
      </w:r>
    </w:p>
    <w:p w:rsidR="00E779D9" w:rsidRPr="001F7236" w:rsidRDefault="00E779D9" w:rsidP="001F7236">
      <w:pPr>
        <w:pStyle w:val="1"/>
        <w:spacing w:before="156" w:after="156"/>
        <w:ind w:firstLineChars="200" w:firstLine="643"/>
        <w:rPr>
          <w:b/>
          <w:sz w:val="32"/>
          <w:szCs w:val="32"/>
        </w:rPr>
      </w:pPr>
      <w:r>
        <w:rPr>
          <w:rFonts w:hint="eastAsia"/>
          <w:b/>
          <w:sz w:val="32"/>
          <w:szCs w:val="32"/>
        </w:rPr>
        <w:t>六、参赛资格</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2021</w:t>
      </w:r>
      <w:r w:rsidRPr="001F7236">
        <w:rPr>
          <w:rFonts w:ascii="仿宋_GB2312" w:eastAsia="仿宋_GB2312" w:hAnsi="仿宋_GB2312" w:cs="仿宋_GB2312" w:hint="eastAsia"/>
          <w:sz w:val="32"/>
          <w:szCs w:val="32"/>
        </w:rPr>
        <w:t>年甘肃地区中等职业学校在校生，不限性别、年级，参赛学生年龄不超过</w:t>
      </w:r>
      <w:r w:rsidRPr="001F7236">
        <w:rPr>
          <w:rFonts w:ascii="仿宋_GB2312" w:eastAsia="仿宋_GB2312" w:hAnsi="仿宋_GB2312" w:cs="仿宋_GB2312"/>
          <w:sz w:val="32"/>
          <w:szCs w:val="32"/>
        </w:rPr>
        <w:t>21</w:t>
      </w:r>
      <w:r w:rsidRPr="001F7236">
        <w:rPr>
          <w:rFonts w:ascii="仿宋_GB2312" w:eastAsia="仿宋_GB2312" w:hAnsi="仿宋_GB2312" w:cs="仿宋_GB2312" w:hint="eastAsia"/>
          <w:sz w:val="32"/>
          <w:szCs w:val="32"/>
        </w:rPr>
        <w:t>周岁。</w:t>
      </w:r>
    </w:p>
    <w:p w:rsidR="00E779D9" w:rsidRPr="001F7236" w:rsidRDefault="00E779D9" w:rsidP="001F7236">
      <w:pPr>
        <w:pStyle w:val="1"/>
        <w:spacing w:before="156" w:after="156"/>
        <w:ind w:firstLineChars="200" w:firstLine="643"/>
        <w:rPr>
          <w:b/>
          <w:sz w:val="32"/>
          <w:szCs w:val="32"/>
        </w:rPr>
      </w:pPr>
      <w:r w:rsidRPr="001F7236">
        <w:rPr>
          <w:rFonts w:hint="eastAsia"/>
          <w:b/>
          <w:sz w:val="32"/>
          <w:szCs w:val="32"/>
        </w:rPr>
        <w:t>七、评分标准和方法</w:t>
      </w:r>
    </w:p>
    <w:p w:rsidR="00E779D9" w:rsidRDefault="00E779D9" w:rsidP="001F7236">
      <w:pPr>
        <w:pStyle w:val="NormalIndent"/>
        <w:spacing w:line="600" w:lineRule="exact"/>
        <w:ind w:firstLineChars="200" w:firstLine="643"/>
        <w:rPr>
          <w:rFonts w:ascii="仿宋_GB2312" w:eastAsia="仿宋_GB2312" w:hAnsi="仿宋_GB2312" w:cs="仿宋_GB2312"/>
          <w:sz w:val="32"/>
          <w:szCs w:val="32"/>
        </w:rPr>
      </w:pPr>
      <w:r w:rsidRPr="001F7236">
        <w:rPr>
          <w:rFonts w:ascii="仿宋_GB2312" w:eastAsia="仿宋_GB2312" w:hAnsi="仿宋_GB2312" w:cs="仿宋_GB2312"/>
          <w:b/>
          <w:sz w:val="32"/>
          <w:szCs w:val="32"/>
        </w:rPr>
        <w:t>1.</w:t>
      </w:r>
      <w:r w:rsidRPr="001F7236">
        <w:rPr>
          <w:rFonts w:ascii="仿宋_GB2312" w:eastAsia="仿宋_GB2312" w:hAnsi="仿宋_GB2312" w:cs="仿宋_GB2312" w:hint="eastAsia"/>
          <w:b/>
          <w:sz w:val="32"/>
          <w:szCs w:val="32"/>
        </w:rPr>
        <w:t>评分标准</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总分</w:t>
      </w:r>
      <w:r w:rsidRPr="001F7236">
        <w:rPr>
          <w:rFonts w:ascii="仿宋_GB2312" w:eastAsia="仿宋_GB2312" w:hAnsi="仿宋_GB2312" w:cs="仿宋_GB2312"/>
          <w:sz w:val="32"/>
          <w:szCs w:val="32"/>
        </w:rPr>
        <w:t>210</w:t>
      </w:r>
      <w:r w:rsidRPr="001F7236">
        <w:rPr>
          <w:rFonts w:ascii="仿宋_GB2312" w:eastAsia="仿宋_GB2312" w:hAnsi="仿宋_GB2312" w:cs="仿宋_GB2312" w:hint="eastAsia"/>
          <w:sz w:val="32"/>
          <w:szCs w:val="32"/>
        </w:rPr>
        <w:t>分，具体如下：</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15"/>
        <w:gridCol w:w="1245"/>
        <w:gridCol w:w="3283"/>
        <w:gridCol w:w="1018"/>
        <w:gridCol w:w="911"/>
      </w:tblGrid>
      <w:tr w:rsidR="00E779D9" w:rsidTr="0077409A">
        <w:trPr>
          <w:trHeight w:val="523"/>
          <w:tblHeader/>
          <w:jc w:val="center"/>
        </w:trPr>
        <w:tc>
          <w:tcPr>
            <w:tcW w:w="2415" w:type="dxa"/>
            <w:vAlign w:val="center"/>
          </w:tcPr>
          <w:p w:rsidR="00E779D9" w:rsidRPr="0077409A" w:rsidRDefault="00E779D9">
            <w:pPr>
              <w:jc w:val="center"/>
              <w:rPr>
                <w:rFonts w:ascii="仿宋" w:eastAsia="仿宋" w:hAnsi="仿宋" w:cs="仿宋"/>
                <w:b/>
                <w:bCs/>
                <w:color w:val="000000"/>
                <w:kern w:val="0"/>
                <w:sz w:val="28"/>
                <w:szCs w:val="28"/>
              </w:rPr>
            </w:pPr>
            <w:r w:rsidRPr="0077409A">
              <w:rPr>
                <w:rFonts w:ascii="仿宋" w:eastAsia="仿宋" w:hAnsi="仿宋" w:cs="仿宋" w:hint="eastAsia"/>
                <w:b/>
                <w:bCs/>
                <w:color w:val="000000"/>
                <w:kern w:val="0"/>
                <w:sz w:val="28"/>
                <w:szCs w:val="28"/>
              </w:rPr>
              <w:t>竞赛内容</w:t>
            </w:r>
          </w:p>
        </w:tc>
        <w:tc>
          <w:tcPr>
            <w:tcW w:w="1245" w:type="dxa"/>
            <w:vAlign w:val="center"/>
          </w:tcPr>
          <w:p w:rsidR="00E779D9" w:rsidRPr="0077409A" w:rsidRDefault="00E779D9">
            <w:pPr>
              <w:jc w:val="center"/>
              <w:rPr>
                <w:rFonts w:ascii="仿宋" w:eastAsia="仿宋" w:hAnsi="仿宋" w:cs="仿宋"/>
                <w:b/>
                <w:bCs/>
                <w:color w:val="000000"/>
                <w:kern w:val="0"/>
                <w:sz w:val="28"/>
                <w:szCs w:val="28"/>
              </w:rPr>
            </w:pPr>
            <w:r w:rsidRPr="0077409A">
              <w:rPr>
                <w:rFonts w:ascii="仿宋" w:eastAsia="仿宋" w:hAnsi="仿宋" w:cs="仿宋" w:hint="eastAsia"/>
                <w:b/>
                <w:bCs/>
                <w:color w:val="000000"/>
                <w:kern w:val="0"/>
                <w:sz w:val="28"/>
                <w:szCs w:val="28"/>
              </w:rPr>
              <w:t>分工</w:t>
            </w:r>
          </w:p>
        </w:tc>
        <w:tc>
          <w:tcPr>
            <w:tcW w:w="3283" w:type="dxa"/>
            <w:vAlign w:val="center"/>
          </w:tcPr>
          <w:p w:rsidR="00E779D9" w:rsidRPr="0077409A" w:rsidRDefault="00E779D9">
            <w:pPr>
              <w:jc w:val="center"/>
              <w:rPr>
                <w:rFonts w:ascii="仿宋" w:eastAsia="仿宋" w:hAnsi="仿宋" w:cs="仿宋"/>
                <w:b/>
                <w:bCs/>
                <w:color w:val="000000"/>
                <w:kern w:val="0"/>
                <w:sz w:val="28"/>
                <w:szCs w:val="28"/>
              </w:rPr>
            </w:pPr>
            <w:r w:rsidRPr="0077409A">
              <w:rPr>
                <w:rFonts w:ascii="仿宋" w:eastAsia="仿宋" w:hAnsi="仿宋" w:cs="仿宋" w:hint="eastAsia"/>
                <w:b/>
                <w:bCs/>
                <w:color w:val="000000"/>
                <w:kern w:val="0"/>
                <w:sz w:val="28"/>
                <w:szCs w:val="28"/>
              </w:rPr>
              <w:t>评分规则</w:t>
            </w:r>
          </w:p>
        </w:tc>
        <w:tc>
          <w:tcPr>
            <w:tcW w:w="1018" w:type="dxa"/>
            <w:vAlign w:val="center"/>
          </w:tcPr>
          <w:p w:rsidR="00E779D9" w:rsidRPr="0077409A" w:rsidRDefault="00E779D9">
            <w:pPr>
              <w:jc w:val="center"/>
              <w:rPr>
                <w:rFonts w:ascii="仿宋" w:eastAsia="仿宋" w:hAnsi="仿宋" w:cs="仿宋"/>
                <w:b/>
                <w:bCs/>
                <w:color w:val="000000"/>
                <w:kern w:val="0"/>
                <w:sz w:val="28"/>
                <w:szCs w:val="28"/>
              </w:rPr>
            </w:pPr>
            <w:r w:rsidRPr="0077409A">
              <w:rPr>
                <w:rFonts w:ascii="仿宋" w:eastAsia="仿宋" w:hAnsi="仿宋" w:cs="仿宋" w:hint="eastAsia"/>
                <w:b/>
                <w:bCs/>
                <w:color w:val="000000"/>
                <w:kern w:val="0"/>
                <w:sz w:val="28"/>
                <w:szCs w:val="28"/>
              </w:rPr>
              <w:t>参考</w:t>
            </w:r>
          </w:p>
          <w:p w:rsidR="00E779D9" w:rsidRPr="0077409A" w:rsidRDefault="00E779D9">
            <w:pPr>
              <w:jc w:val="center"/>
              <w:rPr>
                <w:rFonts w:ascii="仿宋" w:eastAsia="仿宋" w:hAnsi="仿宋" w:cs="仿宋"/>
                <w:b/>
                <w:bCs/>
                <w:color w:val="000000"/>
                <w:kern w:val="0"/>
                <w:sz w:val="28"/>
                <w:szCs w:val="28"/>
              </w:rPr>
            </w:pPr>
            <w:r w:rsidRPr="0077409A">
              <w:rPr>
                <w:rFonts w:ascii="仿宋" w:eastAsia="仿宋" w:hAnsi="仿宋" w:cs="仿宋" w:hint="eastAsia"/>
                <w:b/>
                <w:bCs/>
                <w:color w:val="000000"/>
                <w:kern w:val="0"/>
                <w:sz w:val="28"/>
                <w:szCs w:val="28"/>
              </w:rPr>
              <w:t>分值</w:t>
            </w:r>
          </w:p>
        </w:tc>
        <w:tc>
          <w:tcPr>
            <w:tcW w:w="911" w:type="dxa"/>
            <w:vAlign w:val="center"/>
          </w:tcPr>
          <w:p w:rsidR="00E779D9" w:rsidRPr="0077409A" w:rsidRDefault="00E779D9">
            <w:pPr>
              <w:jc w:val="center"/>
              <w:rPr>
                <w:rFonts w:ascii="仿宋" w:eastAsia="仿宋" w:hAnsi="仿宋" w:cs="仿宋"/>
                <w:b/>
                <w:bCs/>
                <w:color w:val="000000"/>
                <w:kern w:val="0"/>
                <w:sz w:val="28"/>
                <w:szCs w:val="28"/>
              </w:rPr>
            </w:pPr>
            <w:r w:rsidRPr="0077409A">
              <w:rPr>
                <w:rFonts w:ascii="仿宋" w:eastAsia="仿宋" w:hAnsi="仿宋" w:cs="仿宋" w:hint="eastAsia"/>
                <w:b/>
                <w:bCs/>
                <w:color w:val="000000"/>
                <w:kern w:val="0"/>
                <w:sz w:val="28"/>
                <w:szCs w:val="28"/>
              </w:rPr>
              <w:t>评分方式</w:t>
            </w:r>
          </w:p>
        </w:tc>
      </w:tr>
      <w:tr w:rsidR="00E779D9" w:rsidTr="0077409A">
        <w:trPr>
          <w:trHeight w:val="1136"/>
          <w:jc w:val="center"/>
        </w:trPr>
        <w:tc>
          <w:tcPr>
            <w:tcW w:w="2415"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会计凭证编制与审核</w:t>
            </w:r>
          </w:p>
        </w:tc>
        <w:tc>
          <w:tcPr>
            <w:tcW w:w="1245"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会计</w:t>
            </w:r>
          </w:p>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出纳</w:t>
            </w:r>
          </w:p>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会计主管</w:t>
            </w:r>
          </w:p>
        </w:tc>
        <w:tc>
          <w:tcPr>
            <w:tcW w:w="3283" w:type="dxa"/>
            <w:vAlign w:val="center"/>
          </w:tcPr>
          <w:p w:rsidR="00E779D9" w:rsidRDefault="00E779D9">
            <w:pPr>
              <w:rPr>
                <w:rFonts w:ascii="仿宋" w:eastAsia="仿宋" w:hAnsi="仿宋" w:cs="仿宋"/>
                <w:color w:val="000000"/>
                <w:sz w:val="24"/>
                <w:szCs w:val="24"/>
              </w:rPr>
            </w:pPr>
            <w:r>
              <w:rPr>
                <w:rFonts w:ascii="仿宋" w:eastAsia="仿宋" w:hAnsi="仿宋" w:cs="仿宋" w:hint="eastAsia"/>
                <w:color w:val="000000"/>
                <w:sz w:val="24"/>
                <w:szCs w:val="24"/>
              </w:rPr>
              <w:t>按照编制会计凭证的正确性和规范性评分。</w:t>
            </w:r>
          </w:p>
        </w:tc>
        <w:tc>
          <w:tcPr>
            <w:tcW w:w="1018"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color w:val="000000"/>
                <w:sz w:val="24"/>
                <w:szCs w:val="24"/>
              </w:rPr>
              <w:t>150</w:t>
            </w:r>
          </w:p>
        </w:tc>
        <w:tc>
          <w:tcPr>
            <w:tcW w:w="911"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系统</w:t>
            </w:r>
          </w:p>
        </w:tc>
      </w:tr>
      <w:tr w:rsidR="00E779D9" w:rsidTr="0077409A">
        <w:trPr>
          <w:trHeight w:val="954"/>
          <w:jc w:val="center"/>
        </w:trPr>
        <w:tc>
          <w:tcPr>
            <w:tcW w:w="2415"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科目汇总表编制</w:t>
            </w:r>
          </w:p>
        </w:tc>
        <w:tc>
          <w:tcPr>
            <w:tcW w:w="1245"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会计主管</w:t>
            </w:r>
          </w:p>
        </w:tc>
        <w:tc>
          <w:tcPr>
            <w:tcW w:w="3283" w:type="dxa"/>
            <w:vAlign w:val="center"/>
          </w:tcPr>
          <w:p w:rsidR="00E779D9" w:rsidRDefault="00E779D9">
            <w:pPr>
              <w:rPr>
                <w:rFonts w:ascii="仿宋" w:eastAsia="仿宋" w:hAnsi="仿宋" w:cs="仿宋"/>
                <w:color w:val="000000"/>
                <w:sz w:val="24"/>
                <w:szCs w:val="24"/>
              </w:rPr>
            </w:pPr>
            <w:r>
              <w:rPr>
                <w:rFonts w:ascii="仿宋" w:eastAsia="仿宋" w:hAnsi="仿宋" w:cs="仿宋" w:hint="eastAsia"/>
                <w:color w:val="000000"/>
                <w:sz w:val="24"/>
                <w:szCs w:val="24"/>
              </w:rPr>
              <w:t>按照科目汇总表的编制的正确性评分。</w:t>
            </w:r>
          </w:p>
        </w:tc>
        <w:tc>
          <w:tcPr>
            <w:tcW w:w="1018"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color w:val="000000"/>
                <w:sz w:val="24"/>
                <w:szCs w:val="24"/>
              </w:rPr>
              <w:t>10</w:t>
            </w:r>
          </w:p>
        </w:tc>
        <w:tc>
          <w:tcPr>
            <w:tcW w:w="911"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系统</w:t>
            </w:r>
          </w:p>
        </w:tc>
      </w:tr>
      <w:tr w:rsidR="00E779D9" w:rsidTr="0077409A">
        <w:trPr>
          <w:trHeight w:val="1376"/>
          <w:jc w:val="center"/>
        </w:trPr>
        <w:tc>
          <w:tcPr>
            <w:tcW w:w="2415"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现金日记账、银行存款日记账的设置与登记</w:t>
            </w:r>
          </w:p>
        </w:tc>
        <w:tc>
          <w:tcPr>
            <w:tcW w:w="1245"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出纳</w:t>
            </w:r>
          </w:p>
        </w:tc>
        <w:tc>
          <w:tcPr>
            <w:tcW w:w="3283" w:type="dxa"/>
            <w:vAlign w:val="center"/>
          </w:tcPr>
          <w:p w:rsidR="00E779D9" w:rsidRDefault="00E779D9">
            <w:pPr>
              <w:rPr>
                <w:rFonts w:ascii="仿宋" w:eastAsia="仿宋" w:hAnsi="仿宋" w:cs="仿宋"/>
                <w:color w:val="000000"/>
                <w:sz w:val="24"/>
                <w:szCs w:val="24"/>
              </w:rPr>
            </w:pPr>
            <w:r>
              <w:rPr>
                <w:rFonts w:ascii="仿宋" w:eastAsia="仿宋" w:hAnsi="仿宋" w:cs="仿宋" w:hint="eastAsia"/>
                <w:color w:val="000000"/>
                <w:sz w:val="24"/>
                <w:szCs w:val="24"/>
              </w:rPr>
              <w:t>按照日记账登记的正确性和规范性评分。</w:t>
            </w:r>
          </w:p>
        </w:tc>
        <w:tc>
          <w:tcPr>
            <w:tcW w:w="1018"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color w:val="000000"/>
                <w:sz w:val="24"/>
                <w:szCs w:val="24"/>
              </w:rPr>
              <w:t>10</w:t>
            </w:r>
          </w:p>
        </w:tc>
        <w:tc>
          <w:tcPr>
            <w:tcW w:w="911"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系统</w:t>
            </w:r>
          </w:p>
        </w:tc>
      </w:tr>
      <w:tr w:rsidR="00E779D9" w:rsidTr="0077409A">
        <w:trPr>
          <w:trHeight w:val="1039"/>
          <w:jc w:val="center"/>
        </w:trPr>
        <w:tc>
          <w:tcPr>
            <w:tcW w:w="2415"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明细分类账的设置与登记</w:t>
            </w:r>
          </w:p>
        </w:tc>
        <w:tc>
          <w:tcPr>
            <w:tcW w:w="1245"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会计</w:t>
            </w:r>
          </w:p>
        </w:tc>
        <w:tc>
          <w:tcPr>
            <w:tcW w:w="3283" w:type="dxa"/>
            <w:vAlign w:val="center"/>
          </w:tcPr>
          <w:p w:rsidR="00E779D9" w:rsidRDefault="00E779D9">
            <w:pPr>
              <w:rPr>
                <w:rFonts w:ascii="仿宋" w:eastAsia="仿宋" w:hAnsi="仿宋" w:cs="仿宋"/>
                <w:color w:val="000000"/>
                <w:sz w:val="24"/>
                <w:szCs w:val="24"/>
              </w:rPr>
            </w:pPr>
            <w:r>
              <w:rPr>
                <w:rFonts w:ascii="仿宋" w:eastAsia="仿宋" w:hAnsi="仿宋" w:cs="仿宋" w:hint="eastAsia"/>
                <w:color w:val="000000"/>
                <w:sz w:val="24"/>
                <w:szCs w:val="24"/>
              </w:rPr>
              <w:t>按照明细分类账登记的正确性和规范性评分。</w:t>
            </w:r>
          </w:p>
        </w:tc>
        <w:tc>
          <w:tcPr>
            <w:tcW w:w="1018"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color w:val="000000"/>
                <w:sz w:val="24"/>
                <w:szCs w:val="24"/>
              </w:rPr>
              <w:t>10</w:t>
            </w:r>
          </w:p>
        </w:tc>
        <w:tc>
          <w:tcPr>
            <w:tcW w:w="911"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系统</w:t>
            </w:r>
          </w:p>
        </w:tc>
      </w:tr>
      <w:tr w:rsidR="00E779D9" w:rsidTr="0077409A">
        <w:trPr>
          <w:trHeight w:val="954"/>
          <w:jc w:val="center"/>
        </w:trPr>
        <w:tc>
          <w:tcPr>
            <w:tcW w:w="2415"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总账的设置与登记</w:t>
            </w:r>
          </w:p>
        </w:tc>
        <w:tc>
          <w:tcPr>
            <w:tcW w:w="1245"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会计主管</w:t>
            </w:r>
          </w:p>
        </w:tc>
        <w:tc>
          <w:tcPr>
            <w:tcW w:w="3283" w:type="dxa"/>
            <w:vAlign w:val="center"/>
          </w:tcPr>
          <w:p w:rsidR="00E779D9" w:rsidRDefault="00E779D9">
            <w:pPr>
              <w:rPr>
                <w:rFonts w:ascii="仿宋" w:eastAsia="仿宋" w:hAnsi="仿宋" w:cs="仿宋"/>
                <w:color w:val="000000"/>
                <w:sz w:val="24"/>
                <w:szCs w:val="24"/>
              </w:rPr>
            </w:pPr>
            <w:r>
              <w:rPr>
                <w:rFonts w:ascii="仿宋" w:eastAsia="仿宋" w:hAnsi="仿宋" w:cs="仿宋" w:hint="eastAsia"/>
                <w:color w:val="000000"/>
                <w:sz w:val="24"/>
                <w:szCs w:val="24"/>
              </w:rPr>
              <w:t>按照总账登记的正确性和规范性评分。</w:t>
            </w:r>
          </w:p>
        </w:tc>
        <w:tc>
          <w:tcPr>
            <w:tcW w:w="1018"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color w:val="000000"/>
                <w:sz w:val="24"/>
                <w:szCs w:val="24"/>
              </w:rPr>
              <w:t>10</w:t>
            </w:r>
          </w:p>
        </w:tc>
        <w:tc>
          <w:tcPr>
            <w:tcW w:w="911"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系统</w:t>
            </w:r>
          </w:p>
        </w:tc>
      </w:tr>
      <w:tr w:rsidR="00E779D9" w:rsidTr="0077409A">
        <w:trPr>
          <w:trHeight w:val="984"/>
          <w:jc w:val="center"/>
        </w:trPr>
        <w:tc>
          <w:tcPr>
            <w:tcW w:w="2415"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资产负债表和利润表</w:t>
            </w:r>
          </w:p>
        </w:tc>
        <w:tc>
          <w:tcPr>
            <w:tcW w:w="1245"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会计主管</w:t>
            </w:r>
          </w:p>
        </w:tc>
        <w:tc>
          <w:tcPr>
            <w:tcW w:w="3283" w:type="dxa"/>
            <w:vAlign w:val="center"/>
          </w:tcPr>
          <w:p w:rsidR="00E779D9" w:rsidRDefault="00E779D9">
            <w:pPr>
              <w:rPr>
                <w:rFonts w:ascii="仿宋" w:eastAsia="仿宋" w:hAnsi="仿宋" w:cs="仿宋"/>
                <w:color w:val="000000"/>
                <w:sz w:val="24"/>
                <w:szCs w:val="24"/>
              </w:rPr>
            </w:pPr>
            <w:r>
              <w:rPr>
                <w:rFonts w:ascii="仿宋" w:eastAsia="仿宋" w:hAnsi="仿宋" w:cs="仿宋" w:hint="eastAsia"/>
                <w:color w:val="000000"/>
                <w:sz w:val="24"/>
                <w:szCs w:val="24"/>
              </w:rPr>
              <w:t>按照报表各项目指标的计算与填写的正确性评分。</w:t>
            </w:r>
          </w:p>
        </w:tc>
        <w:tc>
          <w:tcPr>
            <w:tcW w:w="1018"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color w:val="000000"/>
                <w:sz w:val="24"/>
                <w:szCs w:val="24"/>
              </w:rPr>
              <w:t>20</w:t>
            </w:r>
          </w:p>
        </w:tc>
        <w:tc>
          <w:tcPr>
            <w:tcW w:w="911" w:type="dxa"/>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系统</w:t>
            </w:r>
          </w:p>
        </w:tc>
      </w:tr>
      <w:tr w:rsidR="00E779D9" w:rsidTr="0077409A">
        <w:trPr>
          <w:trHeight w:val="502"/>
          <w:jc w:val="center"/>
        </w:trPr>
        <w:tc>
          <w:tcPr>
            <w:tcW w:w="6943" w:type="dxa"/>
            <w:gridSpan w:val="3"/>
            <w:vAlign w:val="center"/>
          </w:tcPr>
          <w:p w:rsidR="00E779D9" w:rsidRDefault="00E779D9">
            <w:pPr>
              <w:jc w:val="center"/>
              <w:rPr>
                <w:rFonts w:ascii="仿宋" w:eastAsia="仿宋" w:hAnsi="仿宋" w:cs="仿宋"/>
                <w:color w:val="000000"/>
                <w:sz w:val="24"/>
                <w:szCs w:val="24"/>
              </w:rPr>
            </w:pPr>
            <w:r>
              <w:rPr>
                <w:rFonts w:ascii="仿宋" w:eastAsia="仿宋" w:hAnsi="仿宋" w:cs="仿宋" w:hint="eastAsia"/>
                <w:color w:val="000000"/>
                <w:sz w:val="24"/>
                <w:szCs w:val="24"/>
              </w:rPr>
              <w:t>合</w:t>
            </w:r>
            <w:r>
              <w:rPr>
                <w:rFonts w:ascii="仿宋" w:eastAsia="仿宋" w:hAnsi="仿宋" w:cs="仿宋"/>
                <w:color w:val="000000"/>
                <w:sz w:val="24"/>
                <w:szCs w:val="24"/>
              </w:rPr>
              <w:t xml:space="preserve">         </w:t>
            </w:r>
            <w:r>
              <w:rPr>
                <w:rFonts w:ascii="仿宋" w:eastAsia="仿宋" w:hAnsi="仿宋" w:cs="仿宋" w:hint="eastAsia"/>
                <w:color w:val="000000"/>
                <w:sz w:val="24"/>
                <w:szCs w:val="24"/>
              </w:rPr>
              <w:t>计</w:t>
            </w:r>
          </w:p>
        </w:tc>
        <w:tc>
          <w:tcPr>
            <w:tcW w:w="1929" w:type="dxa"/>
            <w:gridSpan w:val="2"/>
            <w:vAlign w:val="center"/>
          </w:tcPr>
          <w:p w:rsidR="00E779D9" w:rsidRDefault="00E779D9">
            <w:pPr>
              <w:jc w:val="center"/>
              <w:rPr>
                <w:rFonts w:ascii="仿宋" w:eastAsia="仿宋" w:hAnsi="仿宋" w:cs="仿宋"/>
                <w:color w:val="000000"/>
                <w:sz w:val="24"/>
                <w:szCs w:val="24"/>
              </w:rPr>
            </w:pPr>
            <w:r>
              <w:rPr>
                <w:rFonts w:ascii="仿宋" w:eastAsia="仿宋" w:hAnsi="仿宋" w:cs="仿宋"/>
                <w:color w:val="000000"/>
                <w:sz w:val="24"/>
                <w:szCs w:val="24"/>
              </w:rPr>
              <w:t>210</w:t>
            </w:r>
          </w:p>
        </w:tc>
      </w:tr>
    </w:tbl>
    <w:p w:rsidR="00E779D9" w:rsidRPr="001F7236" w:rsidRDefault="00E779D9" w:rsidP="001F7236">
      <w:pPr>
        <w:pStyle w:val="NormalIndent"/>
        <w:spacing w:line="600" w:lineRule="exact"/>
        <w:ind w:firstLineChars="200" w:firstLine="643"/>
        <w:rPr>
          <w:rFonts w:ascii="仿宋_GB2312" w:eastAsia="仿宋_GB2312" w:hAnsi="仿宋_GB2312" w:cs="仿宋_GB2312"/>
          <w:b/>
          <w:sz w:val="32"/>
          <w:szCs w:val="32"/>
        </w:rPr>
      </w:pPr>
      <w:r w:rsidRPr="001F7236">
        <w:rPr>
          <w:rFonts w:ascii="仿宋_GB2312" w:eastAsia="仿宋_GB2312" w:hAnsi="仿宋_GB2312" w:cs="仿宋_GB2312"/>
          <w:b/>
          <w:sz w:val="32"/>
          <w:szCs w:val="32"/>
        </w:rPr>
        <w:t>2.</w:t>
      </w:r>
      <w:r w:rsidRPr="001F7236">
        <w:rPr>
          <w:rFonts w:ascii="仿宋_GB2312" w:eastAsia="仿宋_GB2312" w:hAnsi="仿宋_GB2312" w:cs="仿宋_GB2312" w:hint="eastAsia"/>
          <w:b/>
          <w:sz w:val="32"/>
          <w:szCs w:val="32"/>
        </w:rPr>
        <w:t>得分计分方法</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比赛得分以竞赛系统最终得分为准。</w:t>
      </w:r>
    </w:p>
    <w:p w:rsidR="00E779D9" w:rsidRPr="001F7236" w:rsidRDefault="00E779D9" w:rsidP="001F7236">
      <w:pPr>
        <w:pStyle w:val="1"/>
        <w:spacing w:before="156" w:after="156"/>
        <w:ind w:firstLineChars="200" w:firstLine="643"/>
        <w:rPr>
          <w:b/>
          <w:sz w:val="32"/>
          <w:szCs w:val="32"/>
        </w:rPr>
      </w:pPr>
      <w:r w:rsidRPr="001F7236">
        <w:rPr>
          <w:rFonts w:hint="eastAsia"/>
          <w:b/>
          <w:sz w:val="32"/>
          <w:szCs w:val="32"/>
        </w:rPr>
        <w:t>八、奖项设置</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本赛项的奖项设定按甘肃省教育厅文件中相关规定执行。</w:t>
      </w:r>
    </w:p>
    <w:p w:rsidR="00E779D9" w:rsidRPr="001F7236" w:rsidRDefault="00E779D9" w:rsidP="001F7236">
      <w:pPr>
        <w:pStyle w:val="1"/>
        <w:spacing w:before="156" w:after="156"/>
        <w:ind w:firstLineChars="200" w:firstLine="643"/>
        <w:rPr>
          <w:b/>
          <w:sz w:val="32"/>
          <w:szCs w:val="32"/>
        </w:rPr>
      </w:pPr>
      <w:r w:rsidRPr="001F7236">
        <w:rPr>
          <w:rFonts w:hint="eastAsia"/>
          <w:b/>
          <w:sz w:val="32"/>
          <w:szCs w:val="32"/>
        </w:rPr>
        <w:t>九、申诉与仲裁</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甘肃省职业院校技能大赛设仲裁工作委员会，赛点设仲裁工作组</w:t>
      </w:r>
      <w:r w:rsidRPr="001F7236">
        <w:rPr>
          <w:rFonts w:ascii="仿宋_GB2312" w:eastAsia="仿宋_GB2312" w:hAnsi="仿宋_GB2312" w:cs="仿宋_GB2312"/>
          <w:sz w:val="32"/>
          <w:szCs w:val="32"/>
        </w:rPr>
        <w:t>,</w:t>
      </w:r>
      <w:r w:rsidRPr="001F7236">
        <w:rPr>
          <w:rFonts w:ascii="仿宋_GB2312" w:eastAsia="仿宋_GB2312" w:hAnsi="仿宋_GB2312" w:cs="仿宋_GB2312" w:hint="eastAsia"/>
          <w:sz w:val="32"/>
          <w:szCs w:val="32"/>
        </w:rPr>
        <w:t>组长由大赛组委会办公室指派，组员为赛项裁判长和赛点执委会主任。</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参赛队对赛事过程、工作人员工作若有疑异</w:t>
      </w:r>
      <w:r w:rsidRPr="001F7236">
        <w:rPr>
          <w:rFonts w:ascii="仿宋_GB2312" w:eastAsia="仿宋_GB2312" w:hAnsi="仿宋_GB2312" w:cs="仿宋_GB2312"/>
          <w:sz w:val="32"/>
          <w:szCs w:val="32"/>
        </w:rPr>
        <w:t>,</w:t>
      </w:r>
      <w:r w:rsidRPr="001F7236">
        <w:rPr>
          <w:rFonts w:ascii="仿宋_GB2312" w:eastAsia="仿宋_GB2312" w:hAnsi="仿宋_GB2312" w:cs="仿宋_GB2312" w:hint="eastAsia"/>
          <w:sz w:val="32"/>
          <w:szCs w:val="32"/>
        </w:rPr>
        <w:t>在事实清楚</w:t>
      </w:r>
      <w:r w:rsidRPr="001F7236">
        <w:rPr>
          <w:rFonts w:ascii="仿宋_GB2312" w:eastAsia="仿宋_GB2312" w:hAnsi="仿宋_GB2312" w:cs="仿宋_GB2312"/>
          <w:sz w:val="32"/>
          <w:szCs w:val="32"/>
        </w:rPr>
        <w:t>,</w:t>
      </w:r>
      <w:r w:rsidRPr="001F7236">
        <w:rPr>
          <w:rFonts w:ascii="仿宋_GB2312" w:eastAsia="仿宋_GB2312" w:hAnsi="仿宋_GB2312" w:cs="仿宋_GB2312" w:hint="eastAsia"/>
          <w:sz w:val="32"/>
          <w:szCs w:val="32"/>
        </w:rPr>
        <w:t>证据充分的前提下可由参赛队领队以书面形式向赛点仲裁组提出申诉。报告应对申诉事件的现象、发生时间、涉及人员、申诉依据等进行充分、实事求是的叙述。非书面申诉不予受理。</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3.</w:t>
      </w:r>
      <w:r w:rsidRPr="001F7236">
        <w:rPr>
          <w:rFonts w:ascii="仿宋_GB2312" w:eastAsia="仿宋_GB2312" w:hAnsi="仿宋_GB2312" w:cs="仿宋_GB2312" w:hint="eastAsia"/>
          <w:sz w:val="32"/>
          <w:szCs w:val="32"/>
        </w:rPr>
        <w:t>提出申诉应在赛项比赛结束后</w:t>
      </w: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小时内向赛点仲裁组提出。超过时效不予受理。提出申诉后申诉人及相关涉及人员不得离开赛点，否则视为自行放弃申诉。</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4.</w:t>
      </w:r>
      <w:r w:rsidRPr="001F7236">
        <w:rPr>
          <w:rFonts w:ascii="仿宋_GB2312" w:eastAsia="仿宋_GB2312" w:hAnsi="仿宋_GB2312" w:cs="仿宋_GB2312" w:hint="eastAsia"/>
          <w:sz w:val="32"/>
          <w:szCs w:val="32"/>
        </w:rPr>
        <w:t>赛点仲裁工作组在接到申诉报告后的</w:t>
      </w: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小时内组织复议，并及时将复议结果以书面形式告知申诉方。</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5.</w:t>
      </w:r>
      <w:r w:rsidRPr="001F7236">
        <w:rPr>
          <w:rFonts w:ascii="仿宋_GB2312" w:eastAsia="仿宋_GB2312" w:hAnsi="仿宋_GB2312" w:cs="仿宋_GB2312" w:hint="eastAsia"/>
          <w:sz w:val="32"/>
          <w:szCs w:val="32"/>
        </w:rPr>
        <w:t>对赛点仲裁组复议结果不服的，可由代表队所在院校校级领导向大赛仲裁委员会提出申诉。大赛仲裁委员会的仲裁结果为最终结果。</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6.</w:t>
      </w:r>
      <w:r w:rsidRPr="001F7236">
        <w:rPr>
          <w:rFonts w:ascii="仿宋_GB2312" w:eastAsia="仿宋_GB2312" w:hAnsi="仿宋_GB2312" w:cs="仿宋_GB2312" w:hint="eastAsia"/>
          <w:sz w:val="32"/>
          <w:szCs w:val="32"/>
        </w:rPr>
        <w:t>申诉方不得以任何理由拒绝接收仲裁结果；不得以任何理由采取过激行为扰乱赛场秩序；仲裁结果由申诉人签收，不能代收；如在约定时间和地点申诉人离开，视为撤诉。</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7.</w:t>
      </w:r>
      <w:r w:rsidRPr="001F7236">
        <w:rPr>
          <w:rFonts w:ascii="仿宋_GB2312" w:eastAsia="仿宋_GB2312" w:hAnsi="仿宋_GB2312" w:cs="仿宋_GB2312" w:hint="eastAsia"/>
          <w:sz w:val="32"/>
          <w:szCs w:val="32"/>
        </w:rPr>
        <w:t>申诉方可随时提出放弃申诉。</w:t>
      </w:r>
    </w:p>
    <w:p w:rsidR="00E779D9" w:rsidRPr="001F7236" w:rsidRDefault="00E779D9" w:rsidP="001F7236">
      <w:pPr>
        <w:pStyle w:val="1"/>
        <w:spacing w:before="156" w:after="156"/>
        <w:ind w:firstLineChars="200" w:firstLine="643"/>
        <w:rPr>
          <w:b/>
          <w:sz w:val="32"/>
          <w:szCs w:val="32"/>
        </w:rPr>
      </w:pPr>
      <w:r w:rsidRPr="001F7236">
        <w:rPr>
          <w:rFonts w:hint="eastAsia"/>
          <w:b/>
          <w:sz w:val="32"/>
          <w:szCs w:val="32"/>
        </w:rPr>
        <w:t>十、赛项安全</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赛事安全是会计技能竞赛一切工作顺利开展的先决条件，是赛事筹备和运行工作必须考虑的核心问题。赛项执委会采取切实有效措施保证大赛期间参赛选手、指导教师、裁判员、工作人员及观众的人身安全。</w:t>
      </w:r>
    </w:p>
    <w:p w:rsidR="00E779D9" w:rsidRPr="001F7236" w:rsidRDefault="00E779D9" w:rsidP="001F7236">
      <w:pPr>
        <w:spacing w:line="600" w:lineRule="exact"/>
        <w:ind w:firstLineChars="200" w:firstLine="640"/>
        <w:jc w:val="left"/>
        <w:rPr>
          <w:rFonts w:ascii="楷体" w:eastAsia="楷体" w:hAnsi="楷体"/>
          <w:sz w:val="32"/>
          <w:szCs w:val="32"/>
        </w:rPr>
      </w:pPr>
      <w:bookmarkStart w:id="1" w:name="_Toc361563584"/>
      <w:r w:rsidRPr="001F7236">
        <w:rPr>
          <w:rFonts w:ascii="楷体" w:eastAsia="楷体" w:hAnsi="楷体" w:hint="eastAsia"/>
          <w:sz w:val="32"/>
          <w:szCs w:val="32"/>
        </w:rPr>
        <w:t>（一）比赛环境</w:t>
      </w:r>
      <w:bookmarkEnd w:id="1"/>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赛场周围要设立警戒线，防止无关人员进入发生意外事件。比赛现场内应参照相关职业岗位的要求为选手提供必要的劳动保护。在具有危险性的操作环节，裁判员要严防选手出现错误操作。</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sidRPr="001F7236">
        <w:rPr>
          <w:rFonts w:ascii="仿宋_GB2312" w:eastAsia="仿宋_GB2312" w:hAnsi="仿宋_GB2312" w:cs="仿宋_GB2312" w:hint="eastAsia"/>
          <w:sz w:val="32"/>
          <w:szCs w:val="32"/>
        </w:rPr>
        <w:t>承办单位应提供保证应急预案实施的条件。对于比赛内容涉及高空作业、可能有坠物、大用电量、易发生火灾等情况的赛项，必须明确制度和预案，并配备急救人员与设施。</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sidRPr="001F7236">
        <w:rPr>
          <w:rFonts w:ascii="仿宋_GB2312" w:eastAsia="仿宋_GB2312" w:hAnsi="仿宋_GB2312" w:cs="仿宋_GB2312" w:hint="eastAsia"/>
          <w:sz w:val="32"/>
          <w:szCs w:val="32"/>
        </w:rPr>
        <w:t>执委会须会同承办单位制定开放赛场和体验区的人员疏导方案。赛场环境中存在人员密集、车流人流交错的区域，除了设置齐全的指示标志外，须增加引导人员，并开辟备用通道。</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sidRPr="001F7236">
        <w:rPr>
          <w:rFonts w:ascii="仿宋_GB2312" w:eastAsia="仿宋_GB2312" w:hAnsi="仿宋_GB2312" w:cs="仿宋_GB2312" w:hint="eastAsia"/>
          <w:sz w:val="32"/>
          <w:szCs w:val="32"/>
        </w:rPr>
        <w:t>大赛期间，承办单位须在赛场管理的关键岗位，增加力量，建立安全管理日志。</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sidRPr="001F7236">
        <w:rPr>
          <w:rFonts w:ascii="仿宋_GB2312" w:eastAsia="仿宋_GB2312" w:hAnsi="仿宋_GB2312" w:cs="仿宋_GB2312" w:hint="eastAsia"/>
          <w:sz w:val="32"/>
          <w:szCs w:val="32"/>
        </w:rPr>
        <w:t>参赛选手进入赛位、赛事裁判工作人员进入工作场所，严禁携带通讯、照相摄录设备，禁止携带记录用具。如确有需要，由赛场统一配置、统一管理。</w:t>
      </w:r>
    </w:p>
    <w:p w:rsidR="00E779D9" w:rsidRPr="001F7236" w:rsidRDefault="00E779D9" w:rsidP="001F7236">
      <w:pPr>
        <w:spacing w:line="600" w:lineRule="exact"/>
        <w:ind w:firstLineChars="200" w:firstLine="640"/>
        <w:jc w:val="left"/>
        <w:rPr>
          <w:rFonts w:ascii="楷体" w:eastAsia="楷体" w:hAnsi="楷体"/>
          <w:sz w:val="32"/>
          <w:szCs w:val="32"/>
        </w:rPr>
      </w:pPr>
      <w:bookmarkStart w:id="2" w:name="_Toc361563585"/>
      <w:r w:rsidRPr="001F7236">
        <w:rPr>
          <w:rFonts w:ascii="楷体" w:eastAsia="楷体" w:hAnsi="楷体" w:hint="eastAsia"/>
          <w:sz w:val="32"/>
          <w:szCs w:val="32"/>
        </w:rPr>
        <w:t>（二）生活条件</w:t>
      </w:r>
      <w:bookmarkEnd w:id="2"/>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比赛期间，原则上由执委会统一安排参赛选手和指导教师食宿。</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比赛期间安排的住宿地应具有宾馆</w:t>
      </w:r>
      <w:r w:rsidRPr="001F7236">
        <w:rPr>
          <w:rFonts w:ascii="仿宋_GB2312" w:eastAsia="仿宋_GB2312" w:hAnsi="仿宋_GB2312" w:cs="仿宋_GB2312"/>
          <w:sz w:val="32"/>
          <w:szCs w:val="32"/>
        </w:rPr>
        <w:t>/</w:t>
      </w:r>
      <w:r w:rsidRPr="001F7236">
        <w:rPr>
          <w:rFonts w:ascii="仿宋_GB2312" w:eastAsia="仿宋_GB2312" w:hAnsi="仿宋_GB2312" w:cs="仿宋_GB2312" w:hint="eastAsia"/>
          <w:sz w:val="32"/>
          <w:szCs w:val="32"/>
        </w:rPr>
        <w:t>住宿经营许可资质。以学校宿舍作为住宿地的，大赛期间的住宿、卫生、饮食安全等由执委会和提供宿舍的学校共同负责。</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sidRPr="001F7236">
        <w:rPr>
          <w:rFonts w:ascii="仿宋_GB2312" w:eastAsia="仿宋_GB2312" w:hAnsi="仿宋_GB2312" w:cs="仿宋_GB2312" w:hint="eastAsia"/>
          <w:sz w:val="32"/>
          <w:szCs w:val="32"/>
        </w:rPr>
        <w:t>赛项的安全管理，除了可以采取必要的安全隔离措施外，应严格遵守国家相关法律法规，保护个人隐私和人身自由。</w:t>
      </w:r>
    </w:p>
    <w:p w:rsidR="00E779D9" w:rsidRPr="001F7236" w:rsidRDefault="00E779D9" w:rsidP="001F7236">
      <w:pPr>
        <w:spacing w:line="600" w:lineRule="exact"/>
        <w:ind w:firstLineChars="200" w:firstLine="640"/>
        <w:jc w:val="left"/>
        <w:rPr>
          <w:rFonts w:ascii="楷体" w:eastAsia="楷体" w:hAnsi="楷体"/>
          <w:sz w:val="32"/>
          <w:szCs w:val="32"/>
        </w:rPr>
      </w:pPr>
      <w:bookmarkStart w:id="3" w:name="_Toc361563586"/>
      <w:r>
        <w:rPr>
          <w:rFonts w:ascii="楷体" w:eastAsia="楷体" w:hAnsi="楷体" w:hint="eastAsia"/>
          <w:sz w:val="32"/>
          <w:szCs w:val="32"/>
        </w:rPr>
        <w:t>（三）</w:t>
      </w:r>
      <w:r w:rsidRPr="001F7236">
        <w:rPr>
          <w:rFonts w:ascii="楷体" w:eastAsia="楷体" w:hAnsi="楷体" w:hint="eastAsia"/>
          <w:sz w:val="32"/>
          <w:szCs w:val="32"/>
        </w:rPr>
        <w:t>组队责任</w:t>
      </w:r>
      <w:bookmarkEnd w:id="3"/>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各学校组织代表队时，须安排为参赛选手购买大赛期间的人身意外伤害保险。</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各学校代表队组成后，须制定相关管理制度，并对所有选手、指导教师进行安全教育。</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3.</w:t>
      </w:r>
      <w:r w:rsidRPr="001F7236">
        <w:rPr>
          <w:rFonts w:ascii="仿宋_GB2312" w:eastAsia="仿宋_GB2312" w:hAnsi="仿宋_GB2312" w:cs="仿宋_GB2312" w:hint="eastAsia"/>
          <w:sz w:val="32"/>
          <w:szCs w:val="32"/>
        </w:rPr>
        <w:t>各参赛队伍须加强对参与比赛人员的安全管理，实现与赛场安全管理的对接。</w:t>
      </w:r>
    </w:p>
    <w:p w:rsidR="00E779D9" w:rsidRPr="001F7236" w:rsidRDefault="00E779D9" w:rsidP="001F7236">
      <w:pPr>
        <w:spacing w:line="600" w:lineRule="exact"/>
        <w:ind w:firstLineChars="200" w:firstLine="640"/>
        <w:jc w:val="left"/>
        <w:rPr>
          <w:rFonts w:ascii="楷体" w:eastAsia="楷体" w:hAnsi="楷体"/>
          <w:sz w:val="32"/>
          <w:szCs w:val="32"/>
        </w:rPr>
      </w:pPr>
      <w:bookmarkStart w:id="4" w:name="_Toc361563587"/>
      <w:r w:rsidRPr="001F7236">
        <w:rPr>
          <w:rFonts w:ascii="楷体" w:eastAsia="楷体" w:hAnsi="楷体" w:hint="eastAsia"/>
          <w:sz w:val="32"/>
          <w:szCs w:val="32"/>
        </w:rPr>
        <w:t>（四）应急处理</w:t>
      </w:r>
      <w:bookmarkEnd w:id="4"/>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hint="eastAsia"/>
          <w:sz w:val="32"/>
          <w:szCs w:val="32"/>
        </w:rPr>
        <w:t>比赛期间应做好保电、消防预备工作，如发生意外事故，发现者应第一时间报告执委会，同时采取措施避免事态扩大。执委会应立即启动预案予以解决并报告组委会。赛项出现重大安全问题可以停赛，是否停赛由执委会决定。事后，执委会应向组委会报告详细情况。</w:t>
      </w:r>
    </w:p>
    <w:p w:rsidR="00E779D9" w:rsidRPr="001F7236" w:rsidRDefault="00E779D9" w:rsidP="001F7236">
      <w:pPr>
        <w:spacing w:line="600" w:lineRule="exact"/>
        <w:ind w:firstLineChars="200" w:firstLine="640"/>
        <w:jc w:val="left"/>
        <w:rPr>
          <w:rFonts w:ascii="楷体" w:eastAsia="楷体" w:hAnsi="楷体"/>
          <w:sz w:val="32"/>
          <w:szCs w:val="32"/>
        </w:rPr>
      </w:pPr>
      <w:bookmarkStart w:id="5" w:name="_Toc361563588"/>
      <w:r>
        <w:rPr>
          <w:rFonts w:ascii="楷体" w:eastAsia="楷体" w:hAnsi="楷体" w:hint="eastAsia"/>
          <w:sz w:val="32"/>
          <w:szCs w:val="32"/>
        </w:rPr>
        <w:t>（五）</w:t>
      </w:r>
      <w:r w:rsidRPr="001F7236">
        <w:rPr>
          <w:rFonts w:ascii="楷体" w:eastAsia="楷体" w:hAnsi="楷体" w:hint="eastAsia"/>
          <w:sz w:val="32"/>
          <w:szCs w:val="32"/>
        </w:rPr>
        <w:t>处罚措施</w:t>
      </w:r>
      <w:bookmarkEnd w:id="5"/>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因参赛队伍原因造成重大安全事故的，取消其获奖资格。</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参赛队伍有发生重大安全事故隐患，经赛场工作人员提示、警告无效的，可取消其继续比赛的资格。</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3.</w:t>
      </w:r>
      <w:r w:rsidRPr="001F7236">
        <w:rPr>
          <w:rFonts w:ascii="仿宋_GB2312" w:eastAsia="仿宋_GB2312" w:hAnsi="仿宋_GB2312" w:cs="仿宋_GB2312" w:hint="eastAsia"/>
          <w:sz w:val="32"/>
          <w:szCs w:val="32"/>
        </w:rPr>
        <w:t>赛事工作人员违规的，按照相应的制度追究责任。情节恶劣并造成重大安全事故的，由司法机关追究相应法律责任。</w:t>
      </w:r>
    </w:p>
    <w:p w:rsidR="00E779D9" w:rsidRPr="001F7236" w:rsidRDefault="00E779D9" w:rsidP="001F7236">
      <w:pPr>
        <w:pStyle w:val="1"/>
        <w:spacing w:before="156" w:after="156"/>
        <w:ind w:firstLineChars="200" w:firstLine="643"/>
        <w:rPr>
          <w:b/>
          <w:sz w:val="32"/>
          <w:szCs w:val="32"/>
        </w:rPr>
      </w:pPr>
      <w:r w:rsidRPr="001F7236">
        <w:rPr>
          <w:rFonts w:hint="eastAsia"/>
          <w:b/>
          <w:sz w:val="32"/>
          <w:szCs w:val="32"/>
        </w:rPr>
        <w:t>十一、竞赛须知</w:t>
      </w:r>
    </w:p>
    <w:p w:rsidR="00E779D9" w:rsidRPr="001F7236" w:rsidRDefault="00E779D9" w:rsidP="001F7236">
      <w:pPr>
        <w:spacing w:line="600" w:lineRule="exact"/>
        <w:ind w:firstLineChars="200" w:firstLine="640"/>
        <w:jc w:val="left"/>
        <w:rPr>
          <w:rFonts w:ascii="楷体" w:eastAsia="楷体" w:hAnsi="楷体"/>
          <w:sz w:val="32"/>
          <w:szCs w:val="32"/>
        </w:rPr>
      </w:pPr>
      <w:r>
        <w:rPr>
          <w:rFonts w:ascii="楷体" w:eastAsia="楷体" w:hAnsi="楷体" w:hint="eastAsia"/>
          <w:sz w:val="32"/>
          <w:szCs w:val="32"/>
        </w:rPr>
        <w:t>（一）</w:t>
      </w:r>
      <w:r w:rsidRPr="001F7236">
        <w:rPr>
          <w:rFonts w:ascii="楷体" w:eastAsia="楷体" w:hAnsi="楷体" w:hint="eastAsia"/>
          <w:sz w:val="32"/>
          <w:szCs w:val="32"/>
        </w:rPr>
        <w:t>参赛队须知</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 xml:space="preserve">1. </w:t>
      </w:r>
      <w:r w:rsidRPr="001F7236">
        <w:rPr>
          <w:rFonts w:ascii="仿宋_GB2312" w:eastAsia="仿宋_GB2312" w:hAnsi="仿宋_GB2312" w:cs="仿宋_GB2312" w:hint="eastAsia"/>
          <w:sz w:val="32"/>
          <w:szCs w:val="32"/>
        </w:rPr>
        <w:t>统一使用学校名称。</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参赛队员在报名获得审核确认后，不得更换。</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3.</w:t>
      </w:r>
      <w:r w:rsidRPr="001F7236">
        <w:rPr>
          <w:rFonts w:ascii="仿宋_GB2312" w:eastAsia="仿宋_GB2312" w:hAnsi="仿宋_GB2312" w:cs="仿宋_GB2312" w:hint="eastAsia"/>
          <w:sz w:val="32"/>
          <w:szCs w:val="32"/>
        </w:rPr>
        <w:t>每个参赛队配</w:t>
      </w: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名指导教师，负责本校参赛队的参赛组织和与大赛组织机构的联络。</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4.</w:t>
      </w:r>
      <w:r w:rsidRPr="001F7236">
        <w:rPr>
          <w:rFonts w:ascii="仿宋_GB2312" w:eastAsia="仿宋_GB2312" w:hAnsi="仿宋_GB2312" w:cs="仿宋_GB2312" w:hint="eastAsia"/>
          <w:sz w:val="32"/>
          <w:szCs w:val="32"/>
        </w:rPr>
        <w:t>参赛队按照大赛赛程安排，凭大赛组委会颁发的参赛证和有效身份证件参加比赛及相关活动。</w:t>
      </w:r>
    </w:p>
    <w:p w:rsidR="00E779D9" w:rsidRPr="001F7236" w:rsidRDefault="00E779D9" w:rsidP="001F7236">
      <w:pPr>
        <w:spacing w:line="600" w:lineRule="exact"/>
        <w:ind w:firstLineChars="200" w:firstLine="640"/>
        <w:jc w:val="left"/>
        <w:rPr>
          <w:rFonts w:ascii="楷体" w:eastAsia="楷体" w:hAnsi="楷体"/>
          <w:sz w:val="32"/>
          <w:szCs w:val="32"/>
        </w:rPr>
      </w:pPr>
      <w:r>
        <w:rPr>
          <w:rFonts w:ascii="楷体" w:eastAsia="楷体" w:hAnsi="楷体" w:hint="eastAsia"/>
          <w:sz w:val="32"/>
          <w:szCs w:val="32"/>
        </w:rPr>
        <w:t>（二）</w:t>
      </w:r>
      <w:r w:rsidRPr="001F7236">
        <w:rPr>
          <w:rFonts w:ascii="楷体" w:eastAsia="楷体" w:hAnsi="楷体" w:hint="eastAsia"/>
          <w:sz w:val="32"/>
          <w:szCs w:val="32"/>
        </w:rPr>
        <w:t>指导教师须知</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各参赛代表队要发扬良好道德风尚，听从指挥，服从裁判，不弄虚作假。如发现弄虚作假者，取消参赛资格，名次无效。</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各代表队领队要坚决执行竞赛的各项规定，加强对参赛人员的管理，做好赛前准备工作，督促选手带好证件等竞赛相关材料。</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3.</w:t>
      </w:r>
      <w:r w:rsidRPr="001F7236">
        <w:rPr>
          <w:rFonts w:ascii="仿宋_GB2312" w:eastAsia="仿宋_GB2312" w:hAnsi="仿宋_GB2312" w:cs="仿宋_GB2312" w:hint="eastAsia"/>
          <w:sz w:val="32"/>
          <w:szCs w:val="32"/>
        </w:rPr>
        <w:t>竞赛过程中，除参加当场次竞赛的选手、执行裁判员、现场工作人员和经批准的人员外，领队、指导教师及其他人员一律不得进入竞赛区域。</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4.</w:t>
      </w:r>
      <w:r w:rsidRPr="001F7236">
        <w:rPr>
          <w:rFonts w:ascii="仿宋_GB2312" w:eastAsia="仿宋_GB2312" w:hAnsi="仿宋_GB2312" w:cs="仿宋_GB2312" w:hint="eastAsia"/>
          <w:sz w:val="32"/>
          <w:szCs w:val="32"/>
        </w:rPr>
        <w:t>参赛代表队若对竞赛过程有异议，在规定的时间内由领队向赛项仲裁工作组提出书面报告。</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5.</w:t>
      </w:r>
      <w:r w:rsidRPr="001F7236">
        <w:rPr>
          <w:rFonts w:ascii="仿宋_GB2312" w:eastAsia="仿宋_GB2312" w:hAnsi="仿宋_GB2312" w:cs="仿宋_GB2312" w:hint="eastAsia"/>
          <w:sz w:val="32"/>
          <w:szCs w:val="32"/>
        </w:rPr>
        <w:t>对申诉的仲裁结果，领队要带头服从和执行，并做好选手工作。参赛选手不得因申诉或对处理意见不服而停止竞赛，否则以弃权处理。</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6.</w:t>
      </w:r>
      <w:r w:rsidRPr="001F7236">
        <w:rPr>
          <w:rFonts w:ascii="仿宋_GB2312" w:eastAsia="仿宋_GB2312" w:hAnsi="仿宋_GB2312" w:cs="仿宋_GB2312" w:hint="eastAsia"/>
          <w:sz w:val="32"/>
          <w:szCs w:val="32"/>
        </w:rPr>
        <w:t>指导老师应及时查看大赛专用网页有关赛项的通知和内容，认真研究和掌握本赛项竞赛的规程、技术规范和赛场要求，指导选手做好赛前的一切技术准备和竞赛准备。</w:t>
      </w:r>
    </w:p>
    <w:p w:rsidR="00E779D9" w:rsidRPr="001F7236" w:rsidRDefault="00E779D9" w:rsidP="001F7236">
      <w:pPr>
        <w:spacing w:line="600" w:lineRule="exact"/>
        <w:ind w:firstLineChars="200" w:firstLine="640"/>
        <w:jc w:val="left"/>
        <w:rPr>
          <w:rFonts w:ascii="楷体" w:eastAsia="楷体" w:hAnsi="楷体"/>
          <w:sz w:val="32"/>
          <w:szCs w:val="32"/>
        </w:rPr>
      </w:pPr>
      <w:r>
        <w:rPr>
          <w:rFonts w:ascii="楷体" w:eastAsia="楷体" w:hAnsi="楷体" w:hint="eastAsia"/>
          <w:sz w:val="32"/>
          <w:szCs w:val="32"/>
        </w:rPr>
        <w:t>（三）</w:t>
      </w:r>
      <w:r w:rsidRPr="001F7236">
        <w:rPr>
          <w:rFonts w:ascii="楷体" w:eastAsia="楷体" w:hAnsi="楷体" w:hint="eastAsia"/>
          <w:sz w:val="32"/>
          <w:szCs w:val="32"/>
        </w:rPr>
        <w:t>参赛选手须知</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参赛选手应按有关要求如实填报个人信息，否则取消竞赛资格。</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 xml:space="preserve">2. </w:t>
      </w:r>
      <w:r w:rsidRPr="001F7236">
        <w:rPr>
          <w:rFonts w:ascii="仿宋_GB2312" w:eastAsia="仿宋_GB2312" w:hAnsi="仿宋_GB2312" w:cs="仿宋_GB2312" w:hint="eastAsia"/>
          <w:sz w:val="32"/>
          <w:szCs w:val="32"/>
        </w:rPr>
        <w:t>参赛选手应提前</w:t>
      </w:r>
      <w:r w:rsidRPr="001F7236">
        <w:rPr>
          <w:rFonts w:ascii="仿宋_GB2312" w:eastAsia="仿宋_GB2312" w:hAnsi="仿宋_GB2312" w:cs="仿宋_GB2312"/>
          <w:sz w:val="32"/>
          <w:szCs w:val="32"/>
        </w:rPr>
        <w:t>30</w:t>
      </w:r>
      <w:r w:rsidRPr="001F7236">
        <w:rPr>
          <w:rFonts w:ascii="仿宋_GB2312" w:eastAsia="仿宋_GB2312" w:hAnsi="仿宋_GB2312" w:cs="仿宋_GB2312" w:hint="eastAsia"/>
          <w:sz w:val="32"/>
          <w:szCs w:val="32"/>
        </w:rPr>
        <w:t>分钟抵达赛场，凭统一印制的参赛证和有效身份证件参加竞赛。检录后带参赛证入场其余证件交由领队或指导老师保管，参赛选手按照规定时间地点参赛。</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3.</w:t>
      </w:r>
      <w:r w:rsidRPr="001F7236">
        <w:rPr>
          <w:rFonts w:ascii="仿宋_GB2312" w:eastAsia="仿宋_GB2312" w:hAnsi="仿宋_GB2312" w:cs="仿宋_GB2312" w:hint="eastAsia"/>
          <w:sz w:val="32"/>
          <w:szCs w:val="32"/>
        </w:rPr>
        <w:t>参赛选手应认真学习领会本次竞赛相关文件，自觉遵守大赛纪律，服从指挥，听从安排，文明参赛。有作弊行为的，参赛队该项成绩为</w:t>
      </w:r>
      <w:r w:rsidRPr="001F7236">
        <w:rPr>
          <w:rFonts w:ascii="仿宋_GB2312" w:eastAsia="仿宋_GB2312" w:hAnsi="仿宋_GB2312" w:cs="仿宋_GB2312"/>
          <w:sz w:val="32"/>
          <w:szCs w:val="32"/>
        </w:rPr>
        <w:t>0</w:t>
      </w:r>
      <w:r w:rsidRPr="001F7236">
        <w:rPr>
          <w:rFonts w:ascii="仿宋_GB2312" w:eastAsia="仿宋_GB2312" w:hAnsi="仿宋_GB2312" w:cs="仿宋_GB2312" w:hint="eastAsia"/>
          <w:sz w:val="32"/>
          <w:szCs w:val="32"/>
        </w:rPr>
        <w:t>分；如有不服从裁判、扰乱赛场秩序等不文明行为，按照相关规定扣减分数，情节严重的取消比赛资格和竞赛成绩。</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4.</w:t>
      </w:r>
      <w:r w:rsidRPr="001F7236">
        <w:rPr>
          <w:rFonts w:ascii="仿宋_GB2312" w:eastAsia="仿宋_GB2312" w:hAnsi="仿宋_GB2312" w:cs="仿宋_GB2312" w:hint="eastAsia"/>
          <w:sz w:val="32"/>
          <w:szCs w:val="32"/>
        </w:rPr>
        <w:t>参赛选手请勿携带与竞赛无关的电子设备、通讯设备及其他资料与用品进入赛场。</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5.</w:t>
      </w:r>
      <w:r w:rsidRPr="001F7236">
        <w:rPr>
          <w:rFonts w:ascii="仿宋_GB2312" w:eastAsia="仿宋_GB2312" w:hAnsi="仿宋_GB2312" w:cs="仿宋_GB2312" w:hint="eastAsia"/>
          <w:sz w:val="32"/>
          <w:szCs w:val="32"/>
        </w:rPr>
        <w:t>参赛选手应按抽签结果在指定位置就坐。</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6.</w:t>
      </w:r>
      <w:r w:rsidRPr="001F7236">
        <w:rPr>
          <w:rFonts w:ascii="仿宋_GB2312" w:eastAsia="仿宋_GB2312" w:hAnsi="仿宋_GB2312" w:cs="仿宋_GB2312" w:hint="eastAsia"/>
          <w:sz w:val="32"/>
          <w:szCs w:val="32"/>
        </w:rPr>
        <w:t>各参赛选手必须按严格遵守操作规程，确保人身及设备安全。若因选手个人原因出现安全事件或设备故障，由裁判组裁定其竞赛结束，保留竞赛资格，累计其有效竞赛成绩；非选手个人原因出现的安全事件或设备故障，由裁判组做出裁决，可视具体情况给选手补足排除故障耗费时间。</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7.</w:t>
      </w:r>
      <w:r w:rsidRPr="001F7236">
        <w:rPr>
          <w:rFonts w:ascii="仿宋_GB2312" w:eastAsia="仿宋_GB2312" w:hAnsi="仿宋_GB2312" w:cs="仿宋_GB2312" w:hint="eastAsia"/>
          <w:sz w:val="32"/>
          <w:szCs w:val="32"/>
        </w:rPr>
        <w:t>竞赛时间终了，选手应全体起立，结束操作。经现场指挥人员发出指令后，方可离开赛场。</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8.</w:t>
      </w:r>
      <w:r w:rsidRPr="001F7236">
        <w:rPr>
          <w:rFonts w:ascii="仿宋_GB2312" w:eastAsia="仿宋_GB2312" w:hAnsi="仿宋_GB2312" w:cs="仿宋_GB2312" w:hint="eastAsia"/>
          <w:sz w:val="32"/>
          <w:szCs w:val="32"/>
        </w:rPr>
        <w:t>在竞赛期间，未经执委会的批准，参赛选手不得将竞赛的相关信息私自公布。</w:t>
      </w:r>
    </w:p>
    <w:p w:rsidR="00E779D9" w:rsidRPr="001F7236" w:rsidRDefault="00E779D9" w:rsidP="001F7236">
      <w:pPr>
        <w:spacing w:line="600" w:lineRule="exact"/>
        <w:ind w:firstLineChars="200" w:firstLine="640"/>
        <w:jc w:val="left"/>
        <w:rPr>
          <w:rFonts w:ascii="楷体" w:eastAsia="楷体" w:hAnsi="楷体"/>
          <w:sz w:val="32"/>
          <w:szCs w:val="32"/>
        </w:rPr>
      </w:pPr>
      <w:r>
        <w:rPr>
          <w:rFonts w:ascii="楷体" w:eastAsia="楷体" w:hAnsi="楷体" w:hint="eastAsia"/>
          <w:sz w:val="32"/>
          <w:szCs w:val="32"/>
        </w:rPr>
        <w:t>（四）</w:t>
      </w:r>
      <w:r w:rsidRPr="001F7236">
        <w:rPr>
          <w:rFonts w:ascii="楷体" w:eastAsia="楷体" w:hAnsi="楷体" w:hint="eastAsia"/>
          <w:sz w:val="32"/>
          <w:szCs w:val="32"/>
        </w:rPr>
        <w:t>工作人员须知</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1.</w:t>
      </w:r>
      <w:r w:rsidRPr="001F7236">
        <w:rPr>
          <w:rFonts w:ascii="仿宋_GB2312" w:eastAsia="仿宋_GB2312" w:hAnsi="仿宋_GB2312" w:cs="仿宋_GB2312" w:hint="eastAsia"/>
          <w:sz w:val="32"/>
          <w:szCs w:val="32"/>
        </w:rPr>
        <w:t>工作人员必须统一佩戴由大赛组委会签发的相应证件，着装整齐。</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2.</w:t>
      </w:r>
      <w:r w:rsidRPr="001F7236">
        <w:rPr>
          <w:rFonts w:ascii="仿宋_GB2312" w:eastAsia="仿宋_GB2312" w:hAnsi="仿宋_GB2312" w:cs="仿宋_GB2312" w:hint="eastAsia"/>
          <w:sz w:val="32"/>
          <w:szCs w:val="32"/>
        </w:rPr>
        <w:t>工作人员不得影响参赛选手比赛，不允许有影响比赛公平的行为。</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3.</w:t>
      </w:r>
      <w:r w:rsidRPr="001F7236">
        <w:rPr>
          <w:rFonts w:ascii="仿宋_GB2312" w:eastAsia="仿宋_GB2312" w:hAnsi="仿宋_GB2312" w:cs="仿宋_GB2312" w:hint="eastAsia"/>
          <w:sz w:val="32"/>
          <w:szCs w:val="32"/>
        </w:rPr>
        <w:t>提前</w:t>
      </w:r>
      <w:r w:rsidRPr="001F7236">
        <w:rPr>
          <w:rFonts w:ascii="仿宋_GB2312" w:eastAsia="仿宋_GB2312" w:hAnsi="仿宋_GB2312" w:cs="仿宋_GB2312"/>
          <w:sz w:val="32"/>
          <w:szCs w:val="32"/>
        </w:rPr>
        <w:t>30</w:t>
      </w:r>
      <w:r w:rsidRPr="001F7236">
        <w:rPr>
          <w:rFonts w:ascii="仿宋_GB2312" w:eastAsia="仿宋_GB2312" w:hAnsi="仿宋_GB2312" w:cs="仿宋_GB2312" w:hint="eastAsia"/>
          <w:sz w:val="32"/>
          <w:szCs w:val="32"/>
        </w:rPr>
        <w:t>分钟到达赛场，严守工作岗位，不迟到，不早退，不无故离岗，特殊情况需向工作组组长请假。服从领导，听从指挥，以高度负责的精神、严肃认真的态度做好各项工作。</w:t>
      </w:r>
      <w:r w:rsidRPr="001F7236">
        <w:rPr>
          <w:rFonts w:ascii="仿宋_GB2312" w:eastAsia="仿宋_GB2312" w:hAnsi="仿宋_GB2312" w:cs="仿宋_GB2312"/>
          <w:sz w:val="32"/>
          <w:szCs w:val="32"/>
        </w:rPr>
        <w:t xml:space="preserve"> </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4.</w:t>
      </w:r>
      <w:r w:rsidRPr="001F7236">
        <w:rPr>
          <w:rFonts w:ascii="仿宋_GB2312" w:eastAsia="仿宋_GB2312" w:hAnsi="仿宋_GB2312" w:cs="仿宋_GB2312" w:hint="eastAsia"/>
          <w:sz w:val="32"/>
          <w:szCs w:val="32"/>
        </w:rPr>
        <w:t>熟悉比赛规程，认真遵守各项比赛规则和工作要求。</w:t>
      </w:r>
      <w:r w:rsidRPr="001F7236">
        <w:rPr>
          <w:rFonts w:ascii="仿宋_GB2312" w:eastAsia="仿宋_GB2312" w:hAnsi="仿宋_GB2312" w:cs="仿宋_GB2312"/>
          <w:sz w:val="32"/>
          <w:szCs w:val="32"/>
        </w:rPr>
        <w:t xml:space="preserve"> </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5.</w:t>
      </w:r>
      <w:r w:rsidRPr="001F7236">
        <w:rPr>
          <w:rFonts w:ascii="仿宋_GB2312" w:eastAsia="仿宋_GB2312" w:hAnsi="仿宋_GB2312" w:cs="仿宋_GB2312" w:hint="eastAsia"/>
          <w:sz w:val="32"/>
          <w:szCs w:val="32"/>
        </w:rPr>
        <w:t>坚守岗位，如有急事需要离开岗位时，应经赛场领导同意，并做好工作衔接。</w:t>
      </w:r>
      <w:r w:rsidRPr="001F7236">
        <w:rPr>
          <w:rFonts w:ascii="仿宋_GB2312" w:eastAsia="仿宋_GB2312" w:hAnsi="仿宋_GB2312" w:cs="仿宋_GB2312"/>
          <w:sz w:val="32"/>
          <w:szCs w:val="32"/>
        </w:rPr>
        <w:t xml:space="preserve"> </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6.</w:t>
      </w:r>
      <w:r w:rsidRPr="001F7236">
        <w:rPr>
          <w:rFonts w:ascii="仿宋_GB2312" w:eastAsia="仿宋_GB2312" w:hAnsi="仿宋_GB2312" w:cs="仿宋_GB2312" w:hint="eastAsia"/>
          <w:sz w:val="32"/>
          <w:szCs w:val="32"/>
        </w:rPr>
        <w:t>严格遵守比赛纪律，如发现其他人员有违反比赛纪律的行为，应予以制止。情节严重的，应向竞赛组委会反映。</w:t>
      </w:r>
      <w:r w:rsidRPr="001F7236">
        <w:rPr>
          <w:rFonts w:ascii="仿宋_GB2312" w:eastAsia="仿宋_GB2312" w:hAnsi="仿宋_GB2312" w:cs="仿宋_GB2312"/>
          <w:sz w:val="32"/>
          <w:szCs w:val="32"/>
        </w:rPr>
        <w:t xml:space="preserve"> </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r w:rsidRPr="001F7236">
        <w:rPr>
          <w:rFonts w:ascii="仿宋_GB2312" w:eastAsia="仿宋_GB2312" w:hAnsi="仿宋_GB2312" w:cs="仿宋_GB2312"/>
          <w:sz w:val="32"/>
          <w:szCs w:val="32"/>
        </w:rPr>
        <w:t>7.</w:t>
      </w:r>
      <w:r w:rsidRPr="001F7236">
        <w:rPr>
          <w:rFonts w:ascii="仿宋_GB2312" w:eastAsia="仿宋_GB2312" w:hAnsi="仿宋_GB2312" w:cs="仿宋_GB2312" w:hint="eastAsia"/>
          <w:sz w:val="32"/>
          <w:szCs w:val="32"/>
        </w:rPr>
        <w:t>发扬无私奉献和团结协作的精神，提供热情、优质服务。</w:t>
      </w:r>
    </w:p>
    <w:p w:rsidR="00E779D9" w:rsidRPr="001F7236" w:rsidRDefault="00E779D9" w:rsidP="001F7236">
      <w:pPr>
        <w:pStyle w:val="NormalIndent"/>
        <w:spacing w:line="600" w:lineRule="exact"/>
        <w:ind w:firstLineChars="200" w:firstLine="640"/>
        <w:rPr>
          <w:rFonts w:ascii="仿宋_GB2312" w:eastAsia="仿宋_GB2312" w:hAnsi="仿宋_GB2312" w:cs="仿宋_GB2312"/>
          <w:sz w:val="32"/>
          <w:szCs w:val="32"/>
        </w:rPr>
      </w:pPr>
    </w:p>
    <w:sectPr w:rsidR="00E779D9" w:rsidRPr="001F7236" w:rsidSect="00B74B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9D9" w:rsidRDefault="00E779D9" w:rsidP="00B74BD9">
      <w:r>
        <w:separator/>
      </w:r>
    </w:p>
  </w:endnote>
  <w:endnote w:type="continuationSeparator" w:id="0">
    <w:p w:rsidR="00E779D9" w:rsidRDefault="00E779D9" w:rsidP="00B74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D9" w:rsidRDefault="00E779D9">
    <w:pPr>
      <w:pStyle w:val="Footer"/>
      <w:jc w:val="center"/>
    </w:pPr>
    <w:r>
      <w:rPr>
        <w:lang w:val="zh-CN"/>
      </w:rPr>
      <w:t xml:space="preserve"> </w:t>
    </w:r>
    <w:r>
      <w:rPr>
        <w:b/>
        <w:bCs/>
      </w:rPr>
      <w:fldChar w:fldCharType="begin"/>
    </w:r>
    <w:r>
      <w:rPr>
        <w:b/>
        <w:bCs/>
      </w:rPr>
      <w:instrText>PAGE</w:instrText>
    </w:r>
    <w:r>
      <w:rPr>
        <w:b/>
        <w:bCs/>
      </w:rPr>
      <w:fldChar w:fldCharType="separate"/>
    </w:r>
    <w:r>
      <w:rPr>
        <w:b/>
        <w:bCs/>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Pr>
        <w:b/>
        <w:bCs/>
      </w:rPr>
      <w:t>17</w:t>
    </w:r>
    <w:r>
      <w:rPr>
        <w:b/>
        <w:bCs/>
      </w:rPr>
      <w:fldChar w:fldCharType="end"/>
    </w:r>
  </w:p>
  <w:p w:rsidR="00E779D9" w:rsidRDefault="00E779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9D9" w:rsidRDefault="00E779D9" w:rsidP="00B74BD9">
      <w:r>
        <w:separator/>
      </w:r>
    </w:p>
  </w:footnote>
  <w:footnote w:type="continuationSeparator" w:id="0">
    <w:p w:rsidR="00E779D9" w:rsidRDefault="00E779D9" w:rsidP="00B74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9D9" w:rsidRDefault="00E779D9">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E6C04"/>
    <w:multiLevelType w:val="multilevel"/>
    <w:tmpl w:val="304E6C04"/>
    <w:lvl w:ilvl="0">
      <w:start w:val="1"/>
      <w:numFmt w:val="japaneseCounting"/>
      <w:lvlText w:val="（%1）"/>
      <w:lvlJc w:val="left"/>
      <w:pPr>
        <w:ind w:left="1438" w:hanging="876"/>
      </w:pPr>
      <w:rPr>
        <w:rFonts w:cs="Times New Roman" w:hint="default"/>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abstractNum w:abstractNumId="1">
    <w:nsid w:val="37C833D5"/>
    <w:multiLevelType w:val="multilevel"/>
    <w:tmpl w:val="37C833D5"/>
    <w:lvl w:ilvl="0">
      <w:start w:val="1"/>
      <w:numFmt w:val="decimal"/>
      <w:lvlText w:val="%1."/>
      <w:lvlJc w:val="left"/>
      <w:pPr>
        <w:ind w:left="840" w:hanging="420"/>
      </w:pPr>
      <w:rPr>
        <w:rFonts w:cs="Times New Roman" w:hint="eastAsia"/>
        <w:sz w:val="28"/>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
    <w:nsid w:val="3C9610AF"/>
    <w:multiLevelType w:val="multilevel"/>
    <w:tmpl w:val="3C9610AF"/>
    <w:lvl w:ilvl="0">
      <w:start w:val="1"/>
      <w:numFmt w:val="decimal"/>
      <w:lvlText w:val="%1."/>
      <w:lvlJc w:val="left"/>
      <w:pPr>
        <w:ind w:left="840" w:hanging="420"/>
      </w:pPr>
      <w:rPr>
        <w:rFonts w:cs="Times New Roman" w:hint="eastAsia"/>
        <w:sz w:val="28"/>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3">
    <w:nsid w:val="58225C4C"/>
    <w:multiLevelType w:val="multilevel"/>
    <w:tmpl w:val="58225C4C"/>
    <w:lvl w:ilvl="0">
      <w:start w:val="5"/>
      <w:numFmt w:val="japaneseCounting"/>
      <w:lvlText w:val="（%1）"/>
      <w:lvlJc w:val="left"/>
      <w:pPr>
        <w:tabs>
          <w:tab w:val="left" w:pos="1415"/>
        </w:tabs>
        <w:ind w:left="1415" w:hanging="855"/>
      </w:pPr>
      <w:rPr>
        <w:rFonts w:cs="Times New Roman" w:hint="default"/>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abstractNum w:abstractNumId="4">
    <w:nsid w:val="63D22D95"/>
    <w:multiLevelType w:val="multilevel"/>
    <w:tmpl w:val="63D22D95"/>
    <w:lvl w:ilvl="0">
      <w:start w:val="3"/>
      <w:numFmt w:val="japaneseCounting"/>
      <w:lvlText w:val="（%1）"/>
      <w:lvlJc w:val="left"/>
      <w:pPr>
        <w:tabs>
          <w:tab w:val="left" w:pos="1415"/>
        </w:tabs>
        <w:ind w:left="1415" w:hanging="855"/>
      </w:pPr>
      <w:rPr>
        <w:rFonts w:cs="Times New Roman" w:hint="default"/>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1E03"/>
    <w:rsid w:val="00012BED"/>
    <w:rsid w:val="00017628"/>
    <w:rsid w:val="00033B61"/>
    <w:rsid w:val="00034007"/>
    <w:rsid w:val="00041724"/>
    <w:rsid w:val="00081993"/>
    <w:rsid w:val="000F1348"/>
    <w:rsid w:val="00122568"/>
    <w:rsid w:val="001A4EEB"/>
    <w:rsid w:val="001F7236"/>
    <w:rsid w:val="00252FCE"/>
    <w:rsid w:val="002811A5"/>
    <w:rsid w:val="00344EBF"/>
    <w:rsid w:val="00354A0F"/>
    <w:rsid w:val="003620C5"/>
    <w:rsid w:val="003C52E9"/>
    <w:rsid w:val="003E2E6B"/>
    <w:rsid w:val="0040178D"/>
    <w:rsid w:val="00401E03"/>
    <w:rsid w:val="004174B5"/>
    <w:rsid w:val="00463DEA"/>
    <w:rsid w:val="00483E6D"/>
    <w:rsid w:val="004F3F18"/>
    <w:rsid w:val="00526482"/>
    <w:rsid w:val="00572208"/>
    <w:rsid w:val="006028BC"/>
    <w:rsid w:val="0077409A"/>
    <w:rsid w:val="00782056"/>
    <w:rsid w:val="007912FF"/>
    <w:rsid w:val="007926BB"/>
    <w:rsid w:val="008021B0"/>
    <w:rsid w:val="00824E08"/>
    <w:rsid w:val="00840DF8"/>
    <w:rsid w:val="008A6A5B"/>
    <w:rsid w:val="008C0703"/>
    <w:rsid w:val="00924150"/>
    <w:rsid w:val="009559ED"/>
    <w:rsid w:val="009B556A"/>
    <w:rsid w:val="009D1091"/>
    <w:rsid w:val="009F7270"/>
    <w:rsid w:val="00A002C5"/>
    <w:rsid w:val="00A7281F"/>
    <w:rsid w:val="00A83A09"/>
    <w:rsid w:val="00AA2163"/>
    <w:rsid w:val="00B74BD9"/>
    <w:rsid w:val="00B900ED"/>
    <w:rsid w:val="00B95469"/>
    <w:rsid w:val="00BD7B3F"/>
    <w:rsid w:val="00BE1010"/>
    <w:rsid w:val="00BF08CF"/>
    <w:rsid w:val="00C31163"/>
    <w:rsid w:val="00C34DFE"/>
    <w:rsid w:val="00C47927"/>
    <w:rsid w:val="00C53A91"/>
    <w:rsid w:val="00C81BB9"/>
    <w:rsid w:val="00CA09A8"/>
    <w:rsid w:val="00CD0A33"/>
    <w:rsid w:val="00D23471"/>
    <w:rsid w:val="00D55545"/>
    <w:rsid w:val="00D958FD"/>
    <w:rsid w:val="00DC7564"/>
    <w:rsid w:val="00DE01E8"/>
    <w:rsid w:val="00E1121B"/>
    <w:rsid w:val="00E57D60"/>
    <w:rsid w:val="00E779D9"/>
    <w:rsid w:val="00E945FF"/>
    <w:rsid w:val="00EA0983"/>
    <w:rsid w:val="00F34BAA"/>
    <w:rsid w:val="00F93AC0"/>
    <w:rsid w:val="00FA4607"/>
    <w:rsid w:val="00FD306F"/>
    <w:rsid w:val="01476059"/>
    <w:rsid w:val="021B3B4A"/>
    <w:rsid w:val="0229147B"/>
    <w:rsid w:val="023D25ED"/>
    <w:rsid w:val="02DC00BA"/>
    <w:rsid w:val="036F4B8B"/>
    <w:rsid w:val="03A9406C"/>
    <w:rsid w:val="04085B9A"/>
    <w:rsid w:val="04465653"/>
    <w:rsid w:val="04D460BF"/>
    <w:rsid w:val="05220851"/>
    <w:rsid w:val="05291533"/>
    <w:rsid w:val="05A53794"/>
    <w:rsid w:val="06292CF2"/>
    <w:rsid w:val="063A1481"/>
    <w:rsid w:val="069A1E9C"/>
    <w:rsid w:val="07A6248C"/>
    <w:rsid w:val="080337E0"/>
    <w:rsid w:val="08037741"/>
    <w:rsid w:val="08BB5343"/>
    <w:rsid w:val="08EE0E26"/>
    <w:rsid w:val="091156B1"/>
    <w:rsid w:val="09783524"/>
    <w:rsid w:val="0B007BD0"/>
    <w:rsid w:val="0BB468CF"/>
    <w:rsid w:val="0BBD3742"/>
    <w:rsid w:val="0BE05708"/>
    <w:rsid w:val="0C570CFD"/>
    <w:rsid w:val="0D6F58D2"/>
    <w:rsid w:val="0DBD5C59"/>
    <w:rsid w:val="0E0D4442"/>
    <w:rsid w:val="0E416057"/>
    <w:rsid w:val="0EAB7045"/>
    <w:rsid w:val="128E29AA"/>
    <w:rsid w:val="12995713"/>
    <w:rsid w:val="1310229E"/>
    <w:rsid w:val="13BD2A59"/>
    <w:rsid w:val="15C37E1F"/>
    <w:rsid w:val="15E51754"/>
    <w:rsid w:val="15FC4B08"/>
    <w:rsid w:val="16E65C91"/>
    <w:rsid w:val="179A0940"/>
    <w:rsid w:val="17F12A47"/>
    <w:rsid w:val="18674BF3"/>
    <w:rsid w:val="18FC3A06"/>
    <w:rsid w:val="1A1B3F60"/>
    <w:rsid w:val="1AD6610A"/>
    <w:rsid w:val="1C100C11"/>
    <w:rsid w:val="1C4E6128"/>
    <w:rsid w:val="1DCD354E"/>
    <w:rsid w:val="1ECF296E"/>
    <w:rsid w:val="1ED749E9"/>
    <w:rsid w:val="1FEE2AC0"/>
    <w:rsid w:val="22F8276E"/>
    <w:rsid w:val="269F60CB"/>
    <w:rsid w:val="27CF758C"/>
    <w:rsid w:val="281B776E"/>
    <w:rsid w:val="286261ED"/>
    <w:rsid w:val="286F4383"/>
    <w:rsid w:val="29E75BD1"/>
    <w:rsid w:val="2B007E4A"/>
    <w:rsid w:val="2CD76C3E"/>
    <w:rsid w:val="2D4802CE"/>
    <w:rsid w:val="2D9A4486"/>
    <w:rsid w:val="2DCF58DF"/>
    <w:rsid w:val="2E641AB1"/>
    <w:rsid w:val="2E904ADA"/>
    <w:rsid w:val="2EA374EE"/>
    <w:rsid w:val="2EE51800"/>
    <w:rsid w:val="2F286F61"/>
    <w:rsid w:val="2F30439A"/>
    <w:rsid w:val="2F9E5E05"/>
    <w:rsid w:val="2FD707FD"/>
    <w:rsid w:val="301031B1"/>
    <w:rsid w:val="30285E2E"/>
    <w:rsid w:val="30B44066"/>
    <w:rsid w:val="30BE4DCB"/>
    <w:rsid w:val="31727655"/>
    <w:rsid w:val="330F11E2"/>
    <w:rsid w:val="338B026A"/>
    <w:rsid w:val="339B4ADD"/>
    <w:rsid w:val="33EF575C"/>
    <w:rsid w:val="34B46CC7"/>
    <w:rsid w:val="35415C04"/>
    <w:rsid w:val="35AC231C"/>
    <w:rsid w:val="361539BC"/>
    <w:rsid w:val="364D5353"/>
    <w:rsid w:val="36773FAC"/>
    <w:rsid w:val="367C3112"/>
    <w:rsid w:val="36874EB6"/>
    <w:rsid w:val="36F00440"/>
    <w:rsid w:val="371F7277"/>
    <w:rsid w:val="373F2FDE"/>
    <w:rsid w:val="37D47098"/>
    <w:rsid w:val="38124392"/>
    <w:rsid w:val="38E02075"/>
    <w:rsid w:val="39451916"/>
    <w:rsid w:val="39EF79A7"/>
    <w:rsid w:val="3A4B5170"/>
    <w:rsid w:val="3B327D48"/>
    <w:rsid w:val="3BEE48AB"/>
    <w:rsid w:val="3BFA47E7"/>
    <w:rsid w:val="3C3C4EE4"/>
    <w:rsid w:val="3C5A3CEF"/>
    <w:rsid w:val="3DEB75E1"/>
    <w:rsid w:val="3E3555A7"/>
    <w:rsid w:val="3E3B7A00"/>
    <w:rsid w:val="3ED53DB1"/>
    <w:rsid w:val="3EF5033E"/>
    <w:rsid w:val="40313398"/>
    <w:rsid w:val="40391B23"/>
    <w:rsid w:val="404917EF"/>
    <w:rsid w:val="409F5B33"/>
    <w:rsid w:val="40AE1CAD"/>
    <w:rsid w:val="41D90FD8"/>
    <w:rsid w:val="42167F68"/>
    <w:rsid w:val="42295440"/>
    <w:rsid w:val="424F36EC"/>
    <w:rsid w:val="42CB1D8A"/>
    <w:rsid w:val="42D04E6C"/>
    <w:rsid w:val="42EA651D"/>
    <w:rsid w:val="430C21FC"/>
    <w:rsid w:val="43112737"/>
    <w:rsid w:val="432F728C"/>
    <w:rsid w:val="43453D79"/>
    <w:rsid w:val="44275EF7"/>
    <w:rsid w:val="448B3245"/>
    <w:rsid w:val="4491780C"/>
    <w:rsid w:val="449562A7"/>
    <w:rsid w:val="44AA07EF"/>
    <w:rsid w:val="44EF6BAD"/>
    <w:rsid w:val="45C069F3"/>
    <w:rsid w:val="466E4A2A"/>
    <w:rsid w:val="46AE558F"/>
    <w:rsid w:val="46F7044E"/>
    <w:rsid w:val="483C2825"/>
    <w:rsid w:val="486C6A5B"/>
    <w:rsid w:val="48D40FB8"/>
    <w:rsid w:val="491E6641"/>
    <w:rsid w:val="4A4C5118"/>
    <w:rsid w:val="4A7035E6"/>
    <w:rsid w:val="4A790D95"/>
    <w:rsid w:val="4ADC7DC3"/>
    <w:rsid w:val="4B014EF8"/>
    <w:rsid w:val="4C081AC2"/>
    <w:rsid w:val="4C236E43"/>
    <w:rsid w:val="4C4C30F8"/>
    <w:rsid w:val="4C4F759F"/>
    <w:rsid w:val="4C8E55CF"/>
    <w:rsid w:val="4D556E5B"/>
    <w:rsid w:val="4D68172F"/>
    <w:rsid w:val="4D6A7E07"/>
    <w:rsid w:val="4DCE38FE"/>
    <w:rsid w:val="4E0E584F"/>
    <w:rsid w:val="4E3D54E3"/>
    <w:rsid w:val="4E460B29"/>
    <w:rsid w:val="4F3A1DF8"/>
    <w:rsid w:val="51A70820"/>
    <w:rsid w:val="51B17EBA"/>
    <w:rsid w:val="52197A05"/>
    <w:rsid w:val="52D1431B"/>
    <w:rsid w:val="531C0CDF"/>
    <w:rsid w:val="537C778C"/>
    <w:rsid w:val="53D20E15"/>
    <w:rsid w:val="53ED2026"/>
    <w:rsid w:val="54210086"/>
    <w:rsid w:val="54AD3563"/>
    <w:rsid w:val="556355E2"/>
    <w:rsid w:val="55A64CDD"/>
    <w:rsid w:val="57E214AF"/>
    <w:rsid w:val="58C86D48"/>
    <w:rsid w:val="59066698"/>
    <w:rsid w:val="5B095962"/>
    <w:rsid w:val="5B5B230F"/>
    <w:rsid w:val="5C0E7816"/>
    <w:rsid w:val="5C472805"/>
    <w:rsid w:val="5CCA66D6"/>
    <w:rsid w:val="5D1A7F84"/>
    <w:rsid w:val="5D85009B"/>
    <w:rsid w:val="5DFA6EDD"/>
    <w:rsid w:val="5F160014"/>
    <w:rsid w:val="5F24092A"/>
    <w:rsid w:val="5F3A14AF"/>
    <w:rsid w:val="5F9B0D5C"/>
    <w:rsid w:val="5FA67F4E"/>
    <w:rsid w:val="5FC30BAE"/>
    <w:rsid w:val="609B52B0"/>
    <w:rsid w:val="61DA4BF7"/>
    <w:rsid w:val="61E45695"/>
    <w:rsid w:val="61F1165E"/>
    <w:rsid w:val="62993921"/>
    <w:rsid w:val="631032ED"/>
    <w:rsid w:val="640D4ADD"/>
    <w:rsid w:val="64290608"/>
    <w:rsid w:val="64D86EE5"/>
    <w:rsid w:val="6500723B"/>
    <w:rsid w:val="65166897"/>
    <w:rsid w:val="65752E8E"/>
    <w:rsid w:val="65D036C8"/>
    <w:rsid w:val="66216D48"/>
    <w:rsid w:val="665F2350"/>
    <w:rsid w:val="66993184"/>
    <w:rsid w:val="66AD358E"/>
    <w:rsid w:val="66B2298A"/>
    <w:rsid w:val="66E8693D"/>
    <w:rsid w:val="66EA18AC"/>
    <w:rsid w:val="682B5FA0"/>
    <w:rsid w:val="698E00ED"/>
    <w:rsid w:val="69D257CE"/>
    <w:rsid w:val="6A0E433F"/>
    <w:rsid w:val="6A234353"/>
    <w:rsid w:val="6A6461A0"/>
    <w:rsid w:val="6A9000FF"/>
    <w:rsid w:val="6CA00DE8"/>
    <w:rsid w:val="6D0F2ADC"/>
    <w:rsid w:val="6E4D6F0B"/>
    <w:rsid w:val="6EA04773"/>
    <w:rsid w:val="6EE3559D"/>
    <w:rsid w:val="6FAE5A0E"/>
    <w:rsid w:val="714F26F8"/>
    <w:rsid w:val="721F2246"/>
    <w:rsid w:val="726257FE"/>
    <w:rsid w:val="73533A0C"/>
    <w:rsid w:val="7430228B"/>
    <w:rsid w:val="74E55A23"/>
    <w:rsid w:val="760463E6"/>
    <w:rsid w:val="76075EF8"/>
    <w:rsid w:val="765F11B1"/>
    <w:rsid w:val="76981D9D"/>
    <w:rsid w:val="77C243A0"/>
    <w:rsid w:val="77DC3686"/>
    <w:rsid w:val="77FA7C64"/>
    <w:rsid w:val="78846435"/>
    <w:rsid w:val="795D572C"/>
    <w:rsid w:val="7B0D7735"/>
    <w:rsid w:val="7B3A3E3B"/>
    <w:rsid w:val="7BC078CD"/>
    <w:rsid w:val="7CB7702C"/>
    <w:rsid w:val="7CB920F8"/>
    <w:rsid w:val="7CE721FE"/>
    <w:rsid w:val="7E173F06"/>
    <w:rsid w:val="7E194CE3"/>
    <w:rsid w:val="7E6203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BD9"/>
    <w:pPr>
      <w:widowControl w:val="0"/>
      <w:jc w:val="both"/>
    </w:pPr>
  </w:style>
  <w:style w:type="paragraph" w:styleId="Heading1">
    <w:name w:val="heading 1"/>
    <w:basedOn w:val="Normal"/>
    <w:next w:val="Normal"/>
    <w:link w:val="Heading1Char"/>
    <w:uiPriority w:val="99"/>
    <w:qFormat/>
    <w:rsid w:val="00B74BD9"/>
    <w:pPr>
      <w:spacing w:beforeAutospacing="1" w:afterAutospacing="1"/>
      <w:jc w:val="left"/>
      <w:outlineLvl w:val="0"/>
    </w:pPr>
    <w:rPr>
      <w:rFonts w:ascii="宋体" w:hAnsi="宋体"/>
      <w:b/>
      <w:kern w:val="44"/>
      <w:sz w:val="48"/>
      <w:szCs w:val="48"/>
    </w:rPr>
  </w:style>
  <w:style w:type="paragraph" w:styleId="Heading3">
    <w:name w:val="heading 3"/>
    <w:basedOn w:val="Normal"/>
    <w:next w:val="Normal"/>
    <w:link w:val="Heading3Char"/>
    <w:uiPriority w:val="99"/>
    <w:qFormat/>
    <w:rsid w:val="00B74BD9"/>
    <w:pPr>
      <w:keepNext/>
      <w:keepLines/>
      <w:spacing w:before="260" w:after="260" w:line="413" w:lineRule="auto"/>
      <w:outlineLvl w:val="2"/>
    </w:pPr>
    <w:rPr>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178D"/>
    <w:rPr>
      <w:rFonts w:cs="Times New Roman"/>
      <w:b/>
      <w:bCs/>
      <w:kern w:val="44"/>
      <w:sz w:val="44"/>
      <w:szCs w:val="44"/>
    </w:rPr>
  </w:style>
  <w:style w:type="character" w:customStyle="1" w:styleId="Heading3Char">
    <w:name w:val="Heading 3 Char"/>
    <w:basedOn w:val="DefaultParagraphFont"/>
    <w:link w:val="Heading3"/>
    <w:uiPriority w:val="99"/>
    <w:semiHidden/>
    <w:locked/>
    <w:rsid w:val="0040178D"/>
    <w:rPr>
      <w:rFonts w:cs="Times New Roman"/>
      <w:b/>
      <w:bCs/>
      <w:sz w:val="32"/>
      <w:szCs w:val="32"/>
    </w:rPr>
  </w:style>
  <w:style w:type="paragraph" w:styleId="NormalIndent">
    <w:name w:val="Normal Indent"/>
    <w:basedOn w:val="Normal"/>
    <w:uiPriority w:val="99"/>
    <w:semiHidden/>
    <w:rsid w:val="00B74BD9"/>
    <w:pPr>
      <w:ind w:firstLine="420"/>
    </w:pPr>
    <w:rPr>
      <w:szCs w:val="20"/>
    </w:rPr>
  </w:style>
  <w:style w:type="paragraph" w:styleId="Footer">
    <w:name w:val="footer"/>
    <w:basedOn w:val="Normal"/>
    <w:link w:val="FooterChar"/>
    <w:uiPriority w:val="99"/>
    <w:rsid w:val="00B74BD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74BD9"/>
    <w:rPr>
      <w:rFonts w:cs="Times New Roman"/>
      <w:sz w:val="18"/>
      <w:szCs w:val="18"/>
    </w:rPr>
  </w:style>
  <w:style w:type="paragraph" w:styleId="Header">
    <w:name w:val="header"/>
    <w:basedOn w:val="Normal"/>
    <w:link w:val="HeaderChar"/>
    <w:uiPriority w:val="99"/>
    <w:rsid w:val="00B74BD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74BD9"/>
    <w:rPr>
      <w:rFonts w:cs="Times New Roman"/>
      <w:sz w:val="18"/>
      <w:szCs w:val="18"/>
    </w:rPr>
  </w:style>
  <w:style w:type="character" w:customStyle="1" w:styleId="5-Char">
    <w:name w:val="5-内文 Char"/>
    <w:link w:val="5-"/>
    <w:uiPriority w:val="99"/>
    <w:locked/>
    <w:rsid w:val="00B74BD9"/>
    <w:rPr>
      <w:rFonts w:ascii="Times New Roman" w:hAnsi="Times New Roman"/>
      <w:sz w:val="28"/>
    </w:rPr>
  </w:style>
  <w:style w:type="paragraph" w:customStyle="1" w:styleId="5-">
    <w:name w:val="5-内文"/>
    <w:basedOn w:val="Normal"/>
    <w:link w:val="5-Char"/>
    <w:uiPriority w:val="99"/>
    <w:rsid w:val="00B74BD9"/>
    <w:pPr>
      <w:spacing w:beforeLines="25" w:afterLines="25" w:line="300" w:lineRule="auto"/>
      <w:ind w:firstLineChars="200" w:firstLine="200"/>
    </w:pPr>
    <w:rPr>
      <w:rFonts w:ascii="Times New Roman" w:hAnsi="Times New Roman"/>
      <w:kern w:val="0"/>
      <w:sz w:val="28"/>
      <w:szCs w:val="20"/>
    </w:rPr>
  </w:style>
  <w:style w:type="paragraph" w:customStyle="1" w:styleId="1">
    <w:name w:val="样式1"/>
    <w:basedOn w:val="Heading1"/>
    <w:next w:val="Normal"/>
    <w:uiPriority w:val="99"/>
    <w:rsid w:val="001F7236"/>
    <w:pPr>
      <w:keepNext/>
      <w:keepLines/>
      <w:adjustRightInd w:val="0"/>
      <w:snapToGrid w:val="0"/>
      <w:spacing w:beforeLines="50" w:beforeAutospacing="0" w:afterLines="50" w:afterAutospacing="0" w:line="300" w:lineRule="auto"/>
      <w:jc w:val="both"/>
    </w:pPr>
    <w:rPr>
      <w:rFonts w:ascii="黑体" w:eastAsia="黑体" w:hAnsi="黑体" w:cs="宋体"/>
      <w:b w:val="0"/>
      <w:bCs/>
      <w:color w:val="000000"/>
      <w:kern w:val="0"/>
      <w:sz w:val="2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13</Pages>
  <Words>725</Words>
  <Characters>4138</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柳超启</dc:creator>
  <cp:keywords/>
  <dc:description/>
  <cp:lastModifiedBy>think</cp:lastModifiedBy>
  <cp:revision>30</cp:revision>
  <dcterms:created xsi:type="dcterms:W3CDTF">2019-02-27T00:32:00Z</dcterms:created>
  <dcterms:modified xsi:type="dcterms:W3CDTF">2021-03-20T23:13:00Z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B08A76ADC18046639D1F77C114DBC2D9</vt:lpwstr>
  </property>
</Properties>
</file>